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9952" w:type="dxa"/>
        <w:tblInd w:w="-34" w:type="dxa"/>
        <w:tblBorders>
          <w:insideH w:val="none" w:sz="0" w:space="0" w:color="auto"/>
          <w:insideV w:val="none" w:sz="0" w:space="0" w:color="auto"/>
        </w:tblBorders>
        <w:tblLayout w:type="fixed"/>
        <w:tblLook w:val="04A0" w:firstRow="1" w:lastRow="0" w:firstColumn="1" w:lastColumn="0" w:noHBand="0" w:noVBand="1"/>
      </w:tblPr>
      <w:tblGrid>
        <w:gridCol w:w="9952"/>
      </w:tblGrid>
      <w:tr w:rsidR="009920EC" w:rsidRPr="00344B36" w14:paraId="653C0C51" w14:textId="77777777" w:rsidTr="00144C09">
        <w:trPr>
          <w:trHeight w:val="12512"/>
        </w:trPr>
        <w:tc>
          <w:tcPr>
            <w:tcW w:w="9952" w:type="dxa"/>
          </w:tcPr>
          <w:p w14:paraId="25536506" w14:textId="77777777" w:rsidR="00344B36" w:rsidRPr="00344B36" w:rsidRDefault="00344B36" w:rsidP="00344B36">
            <w:pPr>
              <w:pStyle w:val="ListeParagraf"/>
              <w:ind w:left="0"/>
              <w:jc w:val="both"/>
              <w:rPr>
                <w:sz w:val="22"/>
                <w:szCs w:val="22"/>
              </w:rPr>
            </w:pPr>
          </w:p>
          <w:tbl>
            <w:tblPr>
              <w:tblStyle w:val="TabloKlavuzu"/>
              <w:tblW w:w="9683" w:type="dxa"/>
              <w:tblLayout w:type="fixed"/>
              <w:tblLook w:val="04A0" w:firstRow="1" w:lastRow="0" w:firstColumn="1" w:lastColumn="0" w:noHBand="0" w:noVBand="1"/>
            </w:tblPr>
            <w:tblGrid>
              <w:gridCol w:w="2826"/>
              <w:gridCol w:w="6857"/>
            </w:tblGrid>
            <w:tr w:rsidR="009315F9" w:rsidRPr="00344B36" w14:paraId="0CD7788B" w14:textId="77777777" w:rsidTr="00144C09">
              <w:trPr>
                <w:trHeight w:val="246"/>
              </w:trPr>
              <w:tc>
                <w:tcPr>
                  <w:tcW w:w="2826"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6857"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144C09">
              <w:trPr>
                <w:trHeight w:val="246"/>
              </w:trPr>
              <w:tc>
                <w:tcPr>
                  <w:tcW w:w="2826"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6857" w:type="dxa"/>
                  <w:tcBorders>
                    <w:right w:val="single" w:sz="18" w:space="0" w:color="auto"/>
                  </w:tcBorders>
                </w:tcPr>
                <w:p w14:paraId="216BC26A" w14:textId="3921A1BA" w:rsidR="009315F9" w:rsidRPr="009315F9" w:rsidRDefault="009315F9" w:rsidP="009315F9">
                  <w:pPr>
                    <w:rPr>
                      <w:sz w:val="24"/>
                      <w:szCs w:val="24"/>
                    </w:rPr>
                  </w:pPr>
                </w:p>
              </w:tc>
            </w:tr>
            <w:tr w:rsidR="00E05152" w:rsidRPr="00344B36" w14:paraId="5A6DE78F" w14:textId="77777777" w:rsidTr="00144C09">
              <w:trPr>
                <w:trHeight w:val="246"/>
              </w:trPr>
              <w:tc>
                <w:tcPr>
                  <w:tcW w:w="2826" w:type="dxa"/>
                  <w:tcBorders>
                    <w:left w:val="single" w:sz="18" w:space="0" w:color="auto"/>
                  </w:tcBorders>
                </w:tcPr>
                <w:p w14:paraId="40BDF7B9" w14:textId="77777777" w:rsidR="00E05152" w:rsidRPr="00344B36" w:rsidRDefault="00E05152" w:rsidP="00E05152">
                  <w:pPr>
                    <w:ind w:right="-312"/>
                    <w:rPr>
                      <w:b/>
                      <w:sz w:val="22"/>
                      <w:szCs w:val="22"/>
                    </w:rPr>
                  </w:pPr>
                  <w:r w:rsidRPr="00344B36">
                    <w:rPr>
                      <w:b/>
                      <w:sz w:val="22"/>
                      <w:szCs w:val="22"/>
                    </w:rPr>
                    <w:t>Görev Unvanı</w:t>
                  </w:r>
                </w:p>
              </w:tc>
              <w:tc>
                <w:tcPr>
                  <w:tcW w:w="6857" w:type="dxa"/>
                  <w:tcBorders>
                    <w:right w:val="single" w:sz="18" w:space="0" w:color="auto"/>
                  </w:tcBorders>
                </w:tcPr>
                <w:p w14:paraId="52D542BB" w14:textId="04A76AA8" w:rsidR="00E05152" w:rsidRPr="00E05152" w:rsidRDefault="00E05152" w:rsidP="00E05152">
                  <w:pPr>
                    <w:rPr>
                      <w:sz w:val="22"/>
                      <w:szCs w:val="22"/>
                    </w:rPr>
                  </w:pPr>
                  <w:r w:rsidRPr="00E05152">
                    <w:rPr>
                      <w:sz w:val="22"/>
                      <w:szCs w:val="22"/>
                    </w:rPr>
                    <w:t>KALİTE YÖNETİ</w:t>
                  </w:r>
                  <w:r w:rsidR="00AB7599">
                    <w:rPr>
                      <w:sz w:val="22"/>
                      <w:szCs w:val="22"/>
                    </w:rPr>
                    <w:t>M TEMSİLCİSİ</w:t>
                  </w:r>
                </w:p>
              </w:tc>
            </w:tr>
            <w:tr w:rsidR="00E05152" w:rsidRPr="00344B36" w14:paraId="1180D1C8" w14:textId="77777777" w:rsidTr="00144C09">
              <w:trPr>
                <w:trHeight w:val="246"/>
              </w:trPr>
              <w:tc>
                <w:tcPr>
                  <w:tcW w:w="2826" w:type="dxa"/>
                  <w:tcBorders>
                    <w:left w:val="single" w:sz="18" w:space="0" w:color="auto"/>
                  </w:tcBorders>
                </w:tcPr>
                <w:p w14:paraId="45593ACE" w14:textId="77777777" w:rsidR="00E05152" w:rsidRPr="00344B36" w:rsidRDefault="00E05152" w:rsidP="00E05152">
                  <w:pPr>
                    <w:ind w:right="-312"/>
                    <w:rPr>
                      <w:b/>
                      <w:sz w:val="22"/>
                      <w:szCs w:val="22"/>
                    </w:rPr>
                  </w:pPr>
                  <w:r w:rsidRPr="00344B36">
                    <w:rPr>
                      <w:b/>
                      <w:sz w:val="22"/>
                      <w:szCs w:val="22"/>
                    </w:rPr>
                    <w:t>İletişim / E-mail</w:t>
                  </w:r>
                </w:p>
              </w:tc>
              <w:tc>
                <w:tcPr>
                  <w:tcW w:w="6857" w:type="dxa"/>
                  <w:tcBorders>
                    <w:right w:val="single" w:sz="18" w:space="0" w:color="auto"/>
                  </w:tcBorders>
                </w:tcPr>
                <w:p w14:paraId="0B31D338" w14:textId="77777777" w:rsidR="00E05152" w:rsidRPr="00E05152" w:rsidRDefault="00E05152" w:rsidP="00E05152">
                  <w:pPr>
                    <w:rPr>
                      <w:sz w:val="22"/>
                      <w:szCs w:val="22"/>
                    </w:rPr>
                  </w:pPr>
                </w:p>
              </w:tc>
            </w:tr>
            <w:tr w:rsidR="00E05152" w:rsidRPr="00344B36" w14:paraId="24464901" w14:textId="77777777" w:rsidTr="00144C09">
              <w:trPr>
                <w:trHeight w:val="246"/>
              </w:trPr>
              <w:tc>
                <w:tcPr>
                  <w:tcW w:w="2826" w:type="dxa"/>
                  <w:tcBorders>
                    <w:left w:val="single" w:sz="18" w:space="0" w:color="auto"/>
                  </w:tcBorders>
                </w:tcPr>
                <w:p w14:paraId="15FC8F3F" w14:textId="77777777" w:rsidR="00E05152" w:rsidRPr="00344B36" w:rsidRDefault="00E05152" w:rsidP="00E05152">
                  <w:pPr>
                    <w:ind w:right="-312"/>
                    <w:rPr>
                      <w:b/>
                      <w:sz w:val="22"/>
                      <w:szCs w:val="22"/>
                    </w:rPr>
                  </w:pPr>
                  <w:r w:rsidRPr="00344B36">
                    <w:rPr>
                      <w:b/>
                      <w:sz w:val="22"/>
                      <w:szCs w:val="22"/>
                    </w:rPr>
                    <w:t>Üst Yönetici/Yöneticileri</w:t>
                  </w:r>
                </w:p>
              </w:tc>
              <w:tc>
                <w:tcPr>
                  <w:tcW w:w="6857" w:type="dxa"/>
                  <w:tcBorders>
                    <w:right w:val="single" w:sz="18" w:space="0" w:color="auto"/>
                  </w:tcBorders>
                </w:tcPr>
                <w:p w14:paraId="15101019" w14:textId="3D0E77F6" w:rsidR="00E05152" w:rsidRPr="00E05152" w:rsidRDefault="00AB7599" w:rsidP="00E05152">
                  <w:pPr>
                    <w:rPr>
                      <w:sz w:val="22"/>
                      <w:szCs w:val="22"/>
                    </w:rPr>
                  </w:pPr>
                  <w:r>
                    <w:rPr>
                      <w:sz w:val="22"/>
                      <w:szCs w:val="22"/>
                    </w:rPr>
                    <w:t>REKTÖR</w:t>
                  </w:r>
                </w:p>
              </w:tc>
            </w:tr>
            <w:tr w:rsidR="00E05152" w:rsidRPr="00344B36" w14:paraId="1B0C31D5" w14:textId="77777777" w:rsidTr="00144C09">
              <w:trPr>
                <w:trHeight w:val="494"/>
              </w:trPr>
              <w:tc>
                <w:tcPr>
                  <w:tcW w:w="2826" w:type="dxa"/>
                  <w:tcBorders>
                    <w:left w:val="single" w:sz="18" w:space="0" w:color="auto"/>
                  </w:tcBorders>
                </w:tcPr>
                <w:p w14:paraId="376B6E80" w14:textId="654FFFC0" w:rsidR="00E05152" w:rsidRPr="00344B36" w:rsidRDefault="00E05152" w:rsidP="00E0515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6857" w:type="dxa"/>
                  <w:tcBorders>
                    <w:right w:val="single" w:sz="18" w:space="0" w:color="auto"/>
                  </w:tcBorders>
                </w:tcPr>
                <w:p w14:paraId="2F7AF4C0" w14:textId="77777777" w:rsidR="00E05152" w:rsidRPr="00E05152" w:rsidRDefault="00E05152" w:rsidP="00E0515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31C6ADA" w:rsidR="009315F9" w:rsidRDefault="009315F9" w:rsidP="009315F9">
            <w:pPr>
              <w:spacing w:line="360" w:lineRule="auto"/>
              <w:rPr>
                <w:b/>
                <w:sz w:val="22"/>
                <w:szCs w:val="22"/>
              </w:rPr>
            </w:pPr>
            <w:r w:rsidRPr="009315F9">
              <w:rPr>
                <w:b/>
                <w:sz w:val="22"/>
                <w:szCs w:val="22"/>
              </w:rPr>
              <w:t>GÖREV TANIMI</w:t>
            </w:r>
          </w:p>
          <w:p w14:paraId="243C1832" w14:textId="2325C2AC" w:rsidR="006325EA" w:rsidRDefault="006325EA" w:rsidP="009315F9">
            <w:pPr>
              <w:spacing w:line="360" w:lineRule="auto"/>
              <w:rPr>
                <w:sz w:val="22"/>
                <w:szCs w:val="22"/>
              </w:rPr>
            </w:pPr>
            <w:r>
              <w:rPr>
                <w:sz w:val="22"/>
                <w:szCs w:val="22"/>
              </w:rPr>
              <w:t>K</w:t>
            </w:r>
            <w:r w:rsidRPr="006325EA">
              <w:rPr>
                <w:sz w:val="22"/>
                <w:szCs w:val="22"/>
              </w:rPr>
              <w:t xml:space="preserve">alite </w:t>
            </w:r>
            <w:r>
              <w:rPr>
                <w:sz w:val="22"/>
                <w:szCs w:val="22"/>
              </w:rPr>
              <w:t>Y</w:t>
            </w:r>
            <w:r w:rsidRPr="006325EA">
              <w:rPr>
                <w:sz w:val="22"/>
                <w:szCs w:val="22"/>
              </w:rPr>
              <w:t xml:space="preserve">önetim </w:t>
            </w:r>
            <w:r>
              <w:rPr>
                <w:sz w:val="22"/>
                <w:szCs w:val="22"/>
              </w:rPr>
              <w:t>S</w:t>
            </w:r>
            <w:r w:rsidRPr="006325EA">
              <w:rPr>
                <w:sz w:val="22"/>
                <w:szCs w:val="22"/>
              </w:rPr>
              <w:t>istemi için gerekli süreçlerin belirlenmesi, uygulanması ve sürdürülmesinin sağlanması</w:t>
            </w:r>
            <w:r>
              <w:rPr>
                <w:sz w:val="22"/>
                <w:szCs w:val="22"/>
              </w:rPr>
              <w:t>.</w:t>
            </w:r>
          </w:p>
          <w:p w14:paraId="7AAA166D" w14:textId="77777777" w:rsidR="006325EA" w:rsidRDefault="006325EA" w:rsidP="009315F9">
            <w:pPr>
              <w:spacing w:line="360" w:lineRule="auto"/>
              <w:rPr>
                <w:b/>
                <w:sz w:val="22"/>
                <w:szCs w:val="22"/>
              </w:rPr>
            </w:pPr>
          </w:p>
          <w:p w14:paraId="7401E975" w14:textId="451A61C5" w:rsidR="00E05152" w:rsidRDefault="00E05152" w:rsidP="00E05152">
            <w:pPr>
              <w:spacing w:line="360" w:lineRule="auto"/>
              <w:rPr>
                <w:b/>
                <w:sz w:val="22"/>
                <w:szCs w:val="22"/>
              </w:rPr>
            </w:pPr>
            <w:r w:rsidRPr="009315F9">
              <w:rPr>
                <w:b/>
                <w:sz w:val="22"/>
                <w:szCs w:val="22"/>
              </w:rPr>
              <w:t>GÖREV, YETKİ VE SORUMLULUKLAR</w:t>
            </w:r>
          </w:p>
          <w:p w14:paraId="67310608" w14:textId="77777777" w:rsidR="00591334" w:rsidRPr="00C042D8" w:rsidRDefault="00591334" w:rsidP="00591334">
            <w:pPr>
              <w:spacing w:line="360" w:lineRule="auto"/>
              <w:rPr>
                <w:sz w:val="22"/>
                <w:szCs w:val="22"/>
              </w:rPr>
            </w:pPr>
            <w:r w:rsidRPr="00C042D8">
              <w:rPr>
                <w:sz w:val="22"/>
                <w:szCs w:val="22"/>
              </w:rPr>
              <w:t>Harran Üniversitesi Kalite Komisyonu ile birlikte;</w:t>
            </w:r>
          </w:p>
          <w:p w14:paraId="5EC14010" w14:textId="77777777" w:rsidR="00591334" w:rsidRPr="00C042D8" w:rsidRDefault="00591334" w:rsidP="00591334">
            <w:pPr>
              <w:pStyle w:val="ListeParagraf"/>
              <w:numPr>
                <w:ilvl w:val="0"/>
                <w:numId w:val="25"/>
              </w:numPr>
              <w:spacing w:after="160" w:line="360" w:lineRule="auto"/>
              <w:ind w:right="283"/>
              <w:jc w:val="both"/>
              <w:rPr>
                <w:sz w:val="22"/>
                <w:szCs w:val="22"/>
              </w:rPr>
            </w:pPr>
            <w:r w:rsidRPr="00C042D8">
              <w:rPr>
                <w:sz w:val="22"/>
                <w:szCs w:val="22"/>
              </w:rPr>
              <w:t>Kurumun stratejik planı ve hedefleri doğrultusunda, eğitim-öğretim ve araştırma faaliyetleri ile idarî hizmetlerinin değerlendirilmesi ve kalitesinin geliştirilmesi ile ilgili kurumun iç ve dış kalite güvence sistemini kurmak, kurumsal göstergeleri tespit etmek ve bu kapsamda yapılacak çalışmaları Yükseköğretim Kalite Kurulu tarafından belirlenen usul ve esaslar doğrultusunda yürütmek ve bu çalışmaları Senato onayına sunmak,</w:t>
            </w:r>
          </w:p>
          <w:p w14:paraId="36C399E1" w14:textId="77777777" w:rsidR="00591334" w:rsidRPr="00C042D8" w:rsidRDefault="00591334" w:rsidP="00591334">
            <w:pPr>
              <w:pStyle w:val="ListeParagraf"/>
              <w:numPr>
                <w:ilvl w:val="0"/>
                <w:numId w:val="25"/>
              </w:numPr>
              <w:spacing w:after="160" w:line="360" w:lineRule="auto"/>
              <w:ind w:right="283"/>
              <w:jc w:val="both"/>
              <w:rPr>
                <w:sz w:val="22"/>
                <w:szCs w:val="22"/>
              </w:rPr>
            </w:pPr>
            <w:r w:rsidRPr="00C042D8">
              <w:rPr>
                <w:sz w:val="22"/>
                <w:szCs w:val="22"/>
              </w:rPr>
              <w:t>İç değerlendirme çalışmalarını yürütmek ve kurumsal değerlendirme ve kalite geliştirme çalışmalarının sonuçlarını içeren yıllık kurumsal değerlendirme raporunu hazırlamak ve senatoya sunmak, onaylanan yıllık kurumsal değerlendirme raporunu kurumun internet ortamında ana sayfasında ulaşılacak şekilde kamuoyu ile paylaşmak,</w:t>
            </w:r>
          </w:p>
          <w:p w14:paraId="08F30E14" w14:textId="77777777" w:rsidR="00591334" w:rsidRPr="00C042D8" w:rsidRDefault="00591334" w:rsidP="00591334">
            <w:pPr>
              <w:pStyle w:val="ListeParagraf"/>
              <w:numPr>
                <w:ilvl w:val="0"/>
                <w:numId w:val="25"/>
              </w:numPr>
              <w:spacing w:after="160" w:line="360" w:lineRule="auto"/>
              <w:ind w:right="283"/>
              <w:jc w:val="both"/>
              <w:rPr>
                <w:sz w:val="22"/>
                <w:szCs w:val="22"/>
              </w:rPr>
            </w:pPr>
            <w:r w:rsidRPr="00C042D8">
              <w:rPr>
                <w:sz w:val="22"/>
                <w:szCs w:val="22"/>
              </w:rPr>
              <w:t>Dış değerlendirme sürecinde gerekli hazırlıkları yapmak, Yükseköğretim Kalite Kurulu ile dış değerlendirici Kurumlara her türlü desteği vermek.</w:t>
            </w:r>
          </w:p>
          <w:p w14:paraId="58326F0E" w14:textId="3DEC09D1" w:rsidR="00591334" w:rsidRPr="00591334" w:rsidRDefault="00591334" w:rsidP="00591334">
            <w:pPr>
              <w:pStyle w:val="ListeParagraf"/>
              <w:numPr>
                <w:ilvl w:val="0"/>
                <w:numId w:val="25"/>
              </w:numPr>
              <w:spacing w:after="160" w:line="360" w:lineRule="auto"/>
              <w:ind w:right="283"/>
              <w:jc w:val="both"/>
              <w:rPr>
                <w:sz w:val="22"/>
                <w:szCs w:val="22"/>
              </w:rPr>
            </w:pPr>
            <w:r w:rsidRPr="00C042D8">
              <w:rPr>
                <w:sz w:val="22"/>
                <w:szCs w:val="22"/>
              </w:rPr>
              <w:t>Kurulun dış değerlendirme süreci sırasındaki çalışmalarına destek vermektir.</w:t>
            </w:r>
          </w:p>
          <w:p w14:paraId="0AE35C15" w14:textId="77777777" w:rsidR="00591334" w:rsidRPr="00591334" w:rsidRDefault="00591334" w:rsidP="00591334">
            <w:pPr>
              <w:pStyle w:val="ListeParagraf"/>
              <w:numPr>
                <w:ilvl w:val="0"/>
                <w:numId w:val="25"/>
              </w:numPr>
              <w:spacing w:after="160" w:line="360" w:lineRule="auto"/>
              <w:ind w:right="283"/>
              <w:jc w:val="both"/>
              <w:rPr>
                <w:sz w:val="22"/>
                <w:szCs w:val="22"/>
              </w:rPr>
            </w:pPr>
            <w:r>
              <w:rPr>
                <w:sz w:val="22"/>
                <w:szCs w:val="22"/>
              </w:rPr>
              <w:t>Kalite güvence faaliyetlerinin</w:t>
            </w:r>
            <w:r w:rsidRPr="006325EA">
              <w:rPr>
                <w:sz w:val="22"/>
                <w:szCs w:val="22"/>
              </w:rPr>
              <w:t xml:space="preserve"> planlanması, plana uygun olarak uygulanması, uygulama neticelerinin görülmesi için ölçme işlemlerinin gerçekleştirilmesi ve ölçme neticelerine göre geliştirilmesi gereken alanlar tespit edilerek geliştirme çalışmalarının gerçekleştirilmesi,</w:t>
            </w:r>
          </w:p>
          <w:p w14:paraId="30B3D8D5" w14:textId="77777777" w:rsidR="00591334" w:rsidRPr="00C042D8" w:rsidRDefault="00591334" w:rsidP="00591334">
            <w:pPr>
              <w:pStyle w:val="ListeParagraf"/>
              <w:numPr>
                <w:ilvl w:val="0"/>
                <w:numId w:val="25"/>
              </w:numPr>
              <w:spacing w:after="160" w:line="360" w:lineRule="auto"/>
              <w:ind w:right="283"/>
              <w:jc w:val="both"/>
              <w:rPr>
                <w:sz w:val="22"/>
                <w:szCs w:val="22"/>
              </w:rPr>
            </w:pPr>
            <w:r w:rsidRPr="00C042D8">
              <w:rPr>
                <w:sz w:val="22"/>
                <w:szCs w:val="22"/>
              </w:rPr>
              <w:t xml:space="preserve">Kalite Yönetim Sistemi için gerekli süreçleri belirlemek, uygulamak ve sürdürülmesini sağlanmak, </w:t>
            </w:r>
          </w:p>
          <w:p w14:paraId="6550B98B" w14:textId="1C58FA7C" w:rsidR="00591334" w:rsidRPr="00591334" w:rsidRDefault="00591334" w:rsidP="00591334">
            <w:pPr>
              <w:pStyle w:val="ListeParagraf"/>
              <w:numPr>
                <w:ilvl w:val="0"/>
                <w:numId w:val="25"/>
              </w:numPr>
              <w:spacing w:after="160" w:line="360" w:lineRule="auto"/>
              <w:ind w:right="283"/>
              <w:jc w:val="both"/>
              <w:rPr>
                <w:sz w:val="22"/>
                <w:szCs w:val="22"/>
              </w:rPr>
            </w:pPr>
            <w:r w:rsidRPr="00C042D8">
              <w:rPr>
                <w:sz w:val="22"/>
                <w:szCs w:val="22"/>
              </w:rPr>
              <w:t>Kalite</w:t>
            </w:r>
            <w:r>
              <w:rPr>
                <w:sz w:val="22"/>
                <w:szCs w:val="22"/>
              </w:rPr>
              <w:t xml:space="preserve"> Koordinatörlüğünün</w:t>
            </w:r>
            <w:r w:rsidRPr="00C042D8">
              <w:rPr>
                <w:sz w:val="22"/>
                <w:szCs w:val="22"/>
              </w:rPr>
              <w:t xml:space="preserve"> görevleriyle ilgili olarak </w:t>
            </w:r>
            <w:r>
              <w:rPr>
                <w:sz w:val="22"/>
                <w:szCs w:val="22"/>
              </w:rPr>
              <w:t>ü</w:t>
            </w:r>
            <w:r w:rsidRPr="00C042D8">
              <w:rPr>
                <w:sz w:val="22"/>
                <w:szCs w:val="22"/>
              </w:rPr>
              <w:t xml:space="preserve">niversitenin tüm akademik ve idari birimleri arasında koordinasyonu sağlamak, </w:t>
            </w:r>
            <w:r w:rsidRPr="00591334">
              <w:rPr>
                <w:sz w:val="22"/>
                <w:szCs w:val="22"/>
              </w:rPr>
              <w:t xml:space="preserve"> </w:t>
            </w:r>
          </w:p>
          <w:p w14:paraId="3C902E9B" w14:textId="77777777" w:rsidR="00591334" w:rsidRDefault="00591334" w:rsidP="00591334">
            <w:pPr>
              <w:pStyle w:val="ListeParagraf"/>
              <w:numPr>
                <w:ilvl w:val="0"/>
                <w:numId w:val="25"/>
              </w:numPr>
              <w:spacing w:after="160" w:line="360" w:lineRule="auto"/>
              <w:ind w:right="283"/>
              <w:jc w:val="both"/>
              <w:rPr>
                <w:sz w:val="22"/>
                <w:szCs w:val="22"/>
              </w:rPr>
            </w:pPr>
            <w:r w:rsidRPr="006325EA">
              <w:rPr>
                <w:sz w:val="22"/>
                <w:szCs w:val="22"/>
              </w:rPr>
              <w:t>Üniversite bünyesinde kalite güvencesi kültürünün yaygın hale getirilmesi,</w:t>
            </w:r>
          </w:p>
          <w:p w14:paraId="3A57276C" w14:textId="77777777" w:rsidR="00591334" w:rsidRPr="00C042D8" w:rsidRDefault="00591334" w:rsidP="00591334">
            <w:pPr>
              <w:pStyle w:val="ListeParagraf"/>
              <w:spacing w:after="160" w:line="360" w:lineRule="auto"/>
              <w:ind w:right="283"/>
              <w:jc w:val="both"/>
              <w:rPr>
                <w:sz w:val="22"/>
                <w:szCs w:val="22"/>
              </w:rPr>
            </w:pPr>
          </w:p>
          <w:p w14:paraId="0C52FFEE" w14:textId="091E08CB" w:rsidR="00591334" w:rsidRDefault="00591334" w:rsidP="00752C85">
            <w:pPr>
              <w:pStyle w:val="ListeParagraf"/>
              <w:spacing w:after="160" w:line="360" w:lineRule="auto"/>
              <w:ind w:right="283"/>
              <w:jc w:val="both"/>
              <w:rPr>
                <w:sz w:val="22"/>
                <w:szCs w:val="22"/>
              </w:rPr>
            </w:pPr>
          </w:p>
          <w:p w14:paraId="6043F670" w14:textId="77777777" w:rsidR="00591334" w:rsidRDefault="00591334" w:rsidP="00752C85">
            <w:pPr>
              <w:pStyle w:val="ListeParagraf"/>
              <w:spacing w:after="160" w:line="360" w:lineRule="auto"/>
              <w:ind w:right="283"/>
              <w:jc w:val="both"/>
              <w:rPr>
                <w:sz w:val="22"/>
                <w:szCs w:val="22"/>
              </w:rPr>
            </w:pPr>
          </w:p>
          <w:p w14:paraId="3A92BD0D" w14:textId="77777777" w:rsidR="00B2717F" w:rsidRPr="00B2717F" w:rsidRDefault="00B2717F" w:rsidP="00B2717F">
            <w:pPr>
              <w:spacing w:line="360" w:lineRule="auto"/>
              <w:rPr>
                <w:b/>
                <w:sz w:val="22"/>
                <w:szCs w:val="22"/>
              </w:rPr>
            </w:pPr>
            <w:r w:rsidRPr="00B2717F">
              <w:rPr>
                <w:b/>
                <w:sz w:val="22"/>
                <w:szCs w:val="22"/>
              </w:rPr>
              <w:lastRenderedPageBreak/>
              <w:t>GÖREVİN GEREKTİRDİĞİ NİTELİKLER</w:t>
            </w:r>
          </w:p>
          <w:p w14:paraId="7602F892" w14:textId="1809A8D7" w:rsidR="00B2717F" w:rsidRPr="00B2717F" w:rsidRDefault="00B2717F" w:rsidP="00B2717F">
            <w:pPr>
              <w:pStyle w:val="ListeParagraf"/>
              <w:numPr>
                <w:ilvl w:val="0"/>
                <w:numId w:val="25"/>
              </w:numPr>
              <w:spacing w:after="160" w:line="360" w:lineRule="auto"/>
              <w:ind w:right="283"/>
              <w:jc w:val="both"/>
              <w:rPr>
                <w:sz w:val="22"/>
                <w:szCs w:val="22"/>
              </w:rPr>
            </w:pPr>
            <w:r w:rsidRPr="00B2717F">
              <w:rPr>
                <w:sz w:val="22"/>
                <w:szCs w:val="22"/>
              </w:rPr>
              <w:t>Faaliyetlerin en iyi şekilde sürdürebilmesi için gerekli karar verme ve sorun çözme niteliklerine sahip olmak</w:t>
            </w:r>
          </w:p>
          <w:p w14:paraId="6B06E9CE" w14:textId="77777777" w:rsidR="00B2717F" w:rsidRPr="00B2717F" w:rsidRDefault="00B2717F" w:rsidP="00B2717F">
            <w:pPr>
              <w:spacing w:line="360" w:lineRule="auto"/>
              <w:rPr>
                <w:b/>
                <w:sz w:val="22"/>
                <w:szCs w:val="22"/>
              </w:rPr>
            </w:pPr>
            <w:r w:rsidRPr="00B2717F">
              <w:rPr>
                <w:b/>
                <w:sz w:val="22"/>
                <w:szCs w:val="22"/>
              </w:rPr>
              <w:t>YASAL DAYANAKLAR</w:t>
            </w:r>
          </w:p>
          <w:p w14:paraId="03446BEA" w14:textId="73D4A392" w:rsidR="00B2717F" w:rsidRPr="00B2717F" w:rsidRDefault="00B2717F" w:rsidP="00B2717F">
            <w:pPr>
              <w:pStyle w:val="ListeParagraf"/>
              <w:numPr>
                <w:ilvl w:val="0"/>
                <w:numId w:val="25"/>
              </w:numPr>
              <w:spacing w:after="160" w:line="360" w:lineRule="auto"/>
              <w:ind w:right="283"/>
              <w:jc w:val="both"/>
              <w:rPr>
                <w:sz w:val="22"/>
                <w:szCs w:val="22"/>
              </w:rPr>
            </w:pPr>
            <w:r w:rsidRPr="00B2717F">
              <w:rPr>
                <w:sz w:val="22"/>
                <w:szCs w:val="22"/>
              </w:rPr>
              <w:t>Yükseköğretim Kalite Güvencesi ve Yükseköğretim Kalite Kurulu Yönetmeliği</w:t>
            </w:r>
          </w:p>
          <w:p w14:paraId="6C7DBAE5" w14:textId="77777777" w:rsidR="003C23AB" w:rsidRPr="00752C85" w:rsidRDefault="003C23AB" w:rsidP="00752C85">
            <w:pPr>
              <w:pStyle w:val="ListeParagraf"/>
              <w:spacing w:after="160" w:line="360" w:lineRule="auto"/>
              <w:ind w:right="283"/>
              <w:jc w:val="both"/>
              <w:rPr>
                <w:sz w:val="22"/>
                <w:szCs w:val="22"/>
              </w:rPr>
            </w:pP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29D6F602" w14:textId="77777777" w:rsidR="009E2DF4" w:rsidRPr="009E2DF4" w:rsidRDefault="009E2DF4" w:rsidP="009E2DF4">
            <w:pPr>
              <w:spacing w:line="360" w:lineRule="auto"/>
              <w:jc w:val="both"/>
              <w:rPr>
                <w:sz w:val="22"/>
                <w:szCs w:val="22"/>
              </w:rPr>
            </w:pPr>
            <w:r w:rsidRPr="009E2DF4">
              <w:rPr>
                <w:sz w:val="22"/>
                <w:szCs w:val="22"/>
              </w:rPr>
              <w:t>Bu dokümanda açıklanan görev tanımını okudum. Görevimi burada belirtilen kapsamda yerine getirmeyi kabul ediyorum.</w:t>
            </w:r>
          </w:p>
          <w:p w14:paraId="624752B0" w14:textId="36A86E17" w:rsidR="0063693A" w:rsidRPr="0063693A" w:rsidRDefault="009E2DF4" w:rsidP="009E2DF4">
            <w:pPr>
              <w:widowControl w:val="0"/>
              <w:autoSpaceDE w:val="0"/>
              <w:autoSpaceDN w:val="0"/>
              <w:spacing w:line="360" w:lineRule="auto"/>
              <w:jc w:val="both"/>
              <w:rPr>
                <w:rFonts w:eastAsia="Carlito"/>
                <w:sz w:val="22"/>
                <w:szCs w:val="22"/>
              </w:rPr>
            </w:pPr>
            <w:r w:rsidRPr="009E2DF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0E4BE9">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DCF9" w14:textId="77777777" w:rsidR="000E4BE9" w:rsidRDefault="000E4BE9" w:rsidP="0072515F">
      <w:r>
        <w:separator/>
      </w:r>
    </w:p>
  </w:endnote>
  <w:endnote w:type="continuationSeparator" w:id="0">
    <w:p w14:paraId="53BBA63C" w14:textId="77777777" w:rsidR="000E4BE9" w:rsidRDefault="000E4BE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073951" w14:paraId="6E15F9A5" w14:textId="77777777" w:rsidTr="002B234C">
      <w:trPr>
        <w:trHeight w:val="397"/>
        <w:jc w:val="center"/>
      </w:trPr>
      <w:tc>
        <w:tcPr>
          <w:tcW w:w="2268" w:type="dxa"/>
          <w:vAlign w:val="center"/>
        </w:tcPr>
        <w:p w14:paraId="4045C73E" w14:textId="77777777" w:rsidR="00073951" w:rsidRPr="001E3951" w:rsidRDefault="00073951" w:rsidP="00073951">
          <w:pPr>
            <w:pStyle w:val="AltBilgi"/>
            <w:jc w:val="center"/>
            <w:rPr>
              <w:b/>
              <w:bCs/>
              <w:sz w:val="22"/>
              <w:szCs w:val="22"/>
            </w:rPr>
          </w:pPr>
          <w:r w:rsidRPr="001E3951">
            <w:rPr>
              <w:b/>
              <w:bCs/>
              <w:sz w:val="22"/>
              <w:szCs w:val="22"/>
            </w:rPr>
            <w:t>Kontrol Eden</w:t>
          </w:r>
        </w:p>
      </w:tc>
      <w:tc>
        <w:tcPr>
          <w:tcW w:w="5102" w:type="dxa"/>
          <w:vAlign w:val="center"/>
        </w:tcPr>
        <w:p w14:paraId="4FF977C1" w14:textId="48AD3CBF" w:rsidR="00073951" w:rsidRPr="001E3951" w:rsidRDefault="00795B52" w:rsidP="00073951">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073951" w:rsidRDefault="00073951" w:rsidP="00073951">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073951" w14:paraId="760F89C6" w14:textId="77777777" w:rsidTr="002B234C">
      <w:trPr>
        <w:trHeight w:val="397"/>
        <w:jc w:val="center"/>
      </w:trPr>
      <w:tc>
        <w:tcPr>
          <w:tcW w:w="2268" w:type="dxa"/>
          <w:vAlign w:val="center"/>
        </w:tcPr>
        <w:p w14:paraId="5C172720" w14:textId="77777777" w:rsidR="00073951" w:rsidRPr="001E3951" w:rsidRDefault="00073951" w:rsidP="00073951">
          <w:pPr>
            <w:pStyle w:val="AltBilgi"/>
            <w:jc w:val="center"/>
            <w:rPr>
              <w:b/>
              <w:bCs/>
              <w:sz w:val="22"/>
              <w:szCs w:val="22"/>
            </w:rPr>
          </w:pPr>
          <w:r w:rsidRPr="001E3951">
            <w:rPr>
              <w:b/>
              <w:bCs/>
              <w:sz w:val="22"/>
              <w:szCs w:val="22"/>
            </w:rPr>
            <w:t>Onaylayan</w:t>
          </w:r>
        </w:p>
      </w:tc>
      <w:tc>
        <w:tcPr>
          <w:tcW w:w="5102" w:type="dxa"/>
          <w:vAlign w:val="center"/>
        </w:tcPr>
        <w:p w14:paraId="7F44DDF3" w14:textId="50707E30" w:rsidR="00073951" w:rsidRPr="001E3951" w:rsidRDefault="00795B52" w:rsidP="00073951">
          <w:pPr>
            <w:pStyle w:val="AltBilgi"/>
            <w:jc w:val="center"/>
            <w:rPr>
              <w:sz w:val="22"/>
              <w:szCs w:val="22"/>
            </w:rPr>
          </w:pPr>
          <w:r>
            <w:rPr>
              <w:sz w:val="22"/>
              <w:szCs w:val="22"/>
            </w:rPr>
            <w:t xml:space="preserve">Rektör / Rektör Yardımcısı </w:t>
          </w:r>
        </w:p>
      </w:tc>
      <w:tc>
        <w:tcPr>
          <w:tcW w:w="2835" w:type="dxa"/>
          <w:vMerge/>
        </w:tcPr>
        <w:p w14:paraId="10039FA0" w14:textId="77777777" w:rsidR="00073951" w:rsidRDefault="00073951" w:rsidP="00073951">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0518" w14:textId="77777777" w:rsidR="000E4BE9" w:rsidRDefault="000E4BE9" w:rsidP="0072515F">
      <w:r>
        <w:separator/>
      </w:r>
    </w:p>
  </w:footnote>
  <w:footnote w:type="continuationSeparator" w:id="0">
    <w:p w14:paraId="39E048F8" w14:textId="77777777" w:rsidR="000E4BE9" w:rsidRDefault="000E4BE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45D33CEA"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C1272A" w:rsidRPr="007B4963" w14:paraId="1139F1E5" w14:textId="77777777" w:rsidTr="00B14293">
      <w:trPr>
        <w:trHeight w:val="309"/>
        <w:jc w:val="center"/>
      </w:trPr>
      <w:tc>
        <w:tcPr>
          <w:tcW w:w="972" w:type="pct"/>
          <w:vMerge w:val="restart"/>
          <w:vAlign w:val="center"/>
        </w:tcPr>
        <w:p w14:paraId="2F1B9979" w14:textId="77777777" w:rsidR="00C1272A" w:rsidRPr="007B4963" w:rsidRDefault="00C1272A" w:rsidP="00C1272A">
          <w:pPr>
            <w:jc w:val="center"/>
          </w:pPr>
          <w:r>
            <w:rPr>
              <w:noProof/>
            </w:rPr>
            <w:drawing>
              <wp:inline distT="0" distB="0" distL="0" distR="0" wp14:anchorId="5029D0DD" wp14:editId="6F3E7E75">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0DB8FF9" w14:textId="77777777" w:rsidR="00C1272A" w:rsidRDefault="00C1272A" w:rsidP="00C1272A">
          <w:pPr>
            <w:spacing w:line="276" w:lineRule="auto"/>
            <w:jc w:val="center"/>
            <w:rPr>
              <w:b/>
              <w:sz w:val="24"/>
              <w:szCs w:val="24"/>
            </w:rPr>
          </w:pPr>
          <w:r>
            <w:rPr>
              <w:b/>
              <w:sz w:val="24"/>
              <w:szCs w:val="24"/>
            </w:rPr>
            <w:t xml:space="preserve">T.C. </w:t>
          </w:r>
        </w:p>
        <w:p w14:paraId="122F1535" w14:textId="77777777" w:rsidR="00C1272A" w:rsidRDefault="00C1272A" w:rsidP="00C1272A">
          <w:pPr>
            <w:spacing w:line="276" w:lineRule="auto"/>
            <w:jc w:val="center"/>
            <w:rPr>
              <w:b/>
              <w:sz w:val="24"/>
              <w:szCs w:val="24"/>
            </w:rPr>
          </w:pPr>
          <w:r>
            <w:rPr>
              <w:b/>
              <w:sz w:val="24"/>
              <w:szCs w:val="24"/>
            </w:rPr>
            <w:t xml:space="preserve">HARRAN ÜNİVERSİTESİ </w:t>
          </w:r>
        </w:p>
        <w:p w14:paraId="0F21465F" w14:textId="77777777" w:rsidR="00C1272A" w:rsidRDefault="00C1272A" w:rsidP="00C1272A">
          <w:pPr>
            <w:spacing w:line="276" w:lineRule="auto"/>
            <w:jc w:val="center"/>
            <w:rPr>
              <w:b/>
              <w:sz w:val="24"/>
              <w:szCs w:val="24"/>
            </w:rPr>
          </w:pPr>
          <w:r>
            <w:rPr>
              <w:b/>
              <w:sz w:val="24"/>
              <w:szCs w:val="24"/>
            </w:rPr>
            <w:t>KALİTE YÖNETİM TEMSİLCİSİ</w:t>
          </w:r>
        </w:p>
        <w:p w14:paraId="3772FD5B" w14:textId="5DFEB2E1" w:rsidR="00C1272A" w:rsidRPr="00D82ADE" w:rsidRDefault="00C1272A" w:rsidP="00C1272A">
          <w:pPr>
            <w:spacing w:line="276" w:lineRule="auto"/>
            <w:jc w:val="center"/>
            <w:rPr>
              <w:b/>
              <w:sz w:val="24"/>
              <w:szCs w:val="24"/>
            </w:rPr>
          </w:pPr>
          <w:r>
            <w:rPr>
              <w:b/>
              <w:sz w:val="24"/>
              <w:szCs w:val="24"/>
            </w:rPr>
            <w:t xml:space="preserve"> </w:t>
          </w:r>
          <w:r w:rsidRPr="000C61CD">
            <w:rPr>
              <w:b/>
              <w:sz w:val="24"/>
              <w:szCs w:val="24"/>
            </w:rPr>
            <w:t>GÖREV TANIMI</w:t>
          </w:r>
        </w:p>
      </w:tc>
      <w:tc>
        <w:tcPr>
          <w:tcW w:w="1250" w:type="pct"/>
          <w:vAlign w:val="center"/>
        </w:tcPr>
        <w:p w14:paraId="516E582F" w14:textId="5C1F0CA5" w:rsidR="00C1272A" w:rsidRPr="007B4963" w:rsidRDefault="00C1272A" w:rsidP="00C1272A">
          <w:pPr>
            <w:spacing w:line="276" w:lineRule="auto"/>
          </w:pPr>
          <w:r w:rsidRPr="007B4963">
            <w:t>Doküman No:</w:t>
          </w:r>
          <w:r>
            <w:t xml:space="preserve"> GRV-010</w:t>
          </w:r>
          <w:r>
            <w:t>9</w:t>
          </w:r>
        </w:p>
      </w:tc>
    </w:tr>
    <w:tr w:rsidR="00C1272A" w:rsidRPr="007B4963" w14:paraId="3AA23EED" w14:textId="77777777" w:rsidTr="00B14293">
      <w:trPr>
        <w:trHeight w:val="309"/>
        <w:jc w:val="center"/>
      </w:trPr>
      <w:tc>
        <w:tcPr>
          <w:tcW w:w="972" w:type="pct"/>
          <w:vMerge/>
          <w:vAlign w:val="center"/>
        </w:tcPr>
        <w:p w14:paraId="7701AA77" w14:textId="77777777" w:rsidR="00C1272A" w:rsidRPr="007B4963" w:rsidRDefault="00C1272A" w:rsidP="00C1272A">
          <w:pPr>
            <w:jc w:val="center"/>
            <w:rPr>
              <w:noProof/>
              <w:lang w:eastAsia="tr-TR"/>
            </w:rPr>
          </w:pPr>
        </w:p>
      </w:tc>
      <w:tc>
        <w:tcPr>
          <w:tcW w:w="2778" w:type="pct"/>
          <w:vMerge/>
          <w:vAlign w:val="center"/>
        </w:tcPr>
        <w:p w14:paraId="15F593FD" w14:textId="77777777" w:rsidR="00C1272A" w:rsidRPr="007B4963" w:rsidRDefault="00C1272A" w:rsidP="00C1272A">
          <w:pPr>
            <w:spacing w:line="276" w:lineRule="auto"/>
            <w:jc w:val="center"/>
            <w:rPr>
              <w:b/>
              <w:sz w:val="32"/>
              <w:szCs w:val="32"/>
            </w:rPr>
          </w:pPr>
        </w:p>
      </w:tc>
      <w:tc>
        <w:tcPr>
          <w:tcW w:w="1250" w:type="pct"/>
          <w:vAlign w:val="center"/>
        </w:tcPr>
        <w:p w14:paraId="093B1506" w14:textId="4388B32B" w:rsidR="00C1272A" w:rsidRPr="007B4963" w:rsidRDefault="00C1272A" w:rsidP="00C1272A">
          <w:pPr>
            <w:spacing w:line="276" w:lineRule="auto"/>
          </w:pPr>
          <w:r w:rsidRPr="007B4963">
            <w:t>Revizyon No:</w:t>
          </w:r>
          <w:r>
            <w:t xml:space="preserve"> 0</w:t>
          </w:r>
          <w:r>
            <w:t>3</w:t>
          </w:r>
        </w:p>
      </w:tc>
    </w:tr>
    <w:tr w:rsidR="00C1272A" w:rsidRPr="007B4963" w14:paraId="27357DA1" w14:textId="77777777" w:rsidTr="00B14293">
      <w:trPr>
        <w:trHeight w:val="310"/>
        <w:jc w:val="center"/>
      </w:trPr>
      <w:tc>
        <w:tcPr>
          <w:tcW w:w="972" w:type="pct"/>
          <w:vMerge/>
          <w:vAlign w:val="center"/>
        </w:tcPr>
        <w:p w14:paraId="7D54E954" w14:textId="77777777" w:rsidR="00C1272A" w:rsidRPr="007B4963" w:rsidRDefault="00C1272A" w:rsidP="00C1272A">
          <w:pPr>
            <w:jc w:val="center"/>
            <w:rPr>
              <w:noProof/>
              <w:lang w:eastAsia="tr-TR"/>
            </w:rPr>
          </w:pPr>
        </w:p>
      </w:tc>
      <w:tc>
        <w:tcPr>
          <w:tcW w:w="2778" w:type="pct"/>
          <w:vMerge/>
          <w:vAlign w:val="center"/>
        </w:tcPr>
        <w:p w14:paraId="3D88368C" w14:textId="77777777" w:rsidR="00C1272A" w:rsidRPr="007B4963" w:rsidRDefault="00C1272A" w:rsidP="00C1272A">
          <w:pPr>
            <w:spacing w:line="276" w:lineRule="auto"/>
            <w:jc w:val="center"/>
            <w:rPr>
              <w:b/>
              <w:sz w:val="32"/>
              <w:szCs w:val="32"/>
            </w:rPr>
          </w:pPr>
        </w:p>
      </w:tc>
      <w:tc>
        <w:tcPr>
          <w:tcW w:w="1250" w:type="pct"/>
          <w:vAlign w:val="center"/>
        </w:tcPr>
        <w:p w14:paraId="2DA17C97" w14:textId="77777777" w:rsidR="00C1272A" w:rsidRPr="007B4963" w:rsidRDefault="00C1272A" w:rsidP="00C1272A">
          <w:pPr>
            <w:spacing w:line="276" w:lineRule="auto"/>
          </w:pPr>
          <w:r w:rsidRPr="007B4963">
            <w:t>Yayın Tarihi:</w:t>
          </w:r>
          <w:r>
            <w:t xml:space="preserve"> 10.09.2020</w:t>
          </w:r>
        </w:p>
      </w:tc>
    </w:tr>
    <w:tr w:rsidR="00C1272A" w:rsidRPr="007B4963" w14:paraId="69731871" w14:textId="77777777" w:rsidTr="00B14293">
      <w:trPr>
        <w:trHeight w:val="309"/>
        <w:jc w:val="center"/>
      </w:trPr>
      <w:tc>
        <w:tcPr>
          <w:tcW w:w="972" w:type="pct"/>
          <w:vMerge/>
          <w:vAlign w:val="center"/>
        </w:tcPr>
        <w:p w14:paraId="4A215BFC" w14:textId="77777777" w:rsidR="00C1272A" w:rsidRPr="007B4963" w:rsidRDefault="00C1272A" w:rsidP="00C1272A">
          <w:pPr>
            <w:jc w:val="center"/>
            <w:rPr>
              <w:noProof/>
              <w:lang w:eastAsia="tr-TR"/>
            </w:rPr>
          </w:pPr>
        </w:p>
      </w:tc>
      <w:tc>
        <w:tcPr>
          <w:tcW w:w="2778" w:type="pct"/>
          <w:vMerge/>
          <w:vAlign w:val="center"/>
        </w:tcPr>
        <w:p w14:paraId="7CD2ABDC" w14:textId="77777777" w:rsidR="00C1272A" w:rsidRPr="007B4963" w:rsidRDefault="00C1272A" w:rsidP="00C1272A">
          <w:pPr>
            <w:spacing w:line="276" w:lineRule="auto"/>
            <w:jc w:val="center"/>
            <w:rPr>
              <w:b/>
              <w:sz w:val="32"/>
              <w:szCs w:val="32"/>
            </w:rPr>
          </w:pPr>
        </w:p>
      </w:tc>
      <w:tc>
        <w:tcPr>
          <w:tcW w:w="1250" w:type="pct"/>
          <w:vAlign w:val="center"/>
        </w:tcPr>
        <w:p w14:paraId="3918048B" w14:textId="170ECB45" w:rsidR="00C1272A" w:rsidRPr="007B4963" w:rsidRDefault="00C1272A" w:rsidP="00C1272A">
          <w:pPr>
            <w:spacing w:line="276" w:lineRule="auto"/>
          </w:pPr>
          <w:r w:rsidRPr="007B4963">
            <w:t>Revizyon Tarihi:</w:t>
          </w:r>
          <w:r>
            <w:t>30.01.2024</w:t>
          </w:r>
        </w:p>
      </w:tc>
    </w:tr>
    <w:tr w:rsidR="00C1272A" w:rsidRPr="007B4963" w14:paraId="24F7C413" w14:textId="77777777" w:rsidTr="00B14293">
      <w:trPr>
        <w:trHeight w:val="310"/>
        <w:jc w:val="center"/>
      </w:trPr>
      <w:tc>
        <w:tcPr>
          <w:tcW w:w="972" w:type="pct"/>
          <w:vMerge/>
          <w:vAlign w:val="center"/>
        </w:tcPr>
        <w:p w14:paraId="7F7D9FFB" w14:textId="77777777" w:rsidR="00C1272A" w:rsidRPr="007B4963" w:rsidRDefault="00C1272A" w:rsidP="00C1272A">
          <w:pPr>
            <w:jc w:val="center"/>
            <w:rPr>
              <w:noProof/>
              <w:lang w:eastAsia="tr-TR"/>
            </w:rPr>
          </w:pPr>
        </w:p>
      </w:tc>
      <w:tc>
        <w:tcPr>
          <w:tcW w:w="2778" w:type="pct"/>
          <w:vMerge/>
          <w:vAlign w:val="center"/>
        </w:tcPr>
        <w:p w14:paraId="116F66D5" w14:textId="77777777" w:rsidR="00C1272A" w:rsidRPr="007B4963" w:rsidRDefault="00C1272A" w:rsidP="00C1272A">
          <w:pPr>
            <w:spacing w:line="276" w:lineRule="auto"/>
            <w:jc w:val="center"/>
            <w:rPr>
              <w:b/>
              <w:sz w:val="32"/>
              <w:szCs w:val="32"/>
            </w:rPr>
          </w:pPr>
        </w:p>
      </w:tc>
      <w:tc>
        <w:tcPr>
          <w:tcW w:w="1250" w:type="pct"/>
          <w:vAlign w:val="center"/>
        </w:tcPr>
        <w:p w14:paraId="79C8BC96" w14:textId="77777777" w:rsidR="00C1272A" w:rsidRPr="007B4963" w:rsidRDefault="00C1272A" w:rsidP="00C1272A">
          <w:pPr>
            <w:spacing w:line="276" w:lineRule="auto"/>
          </w:pPr>
          <w:r>
            <w:t xml:space="preserve">Sayfa No: </w:t>
          </w:r>
          <w:r w:rsidRPr="0063693A">
            <w:fldChar w:fldCharType="begin"/>
          </w:r>
          <w:r w:rsidRPr="0063693A">
            <w:instrText>PAGE  \* Arabic  \* MERGEFORMAT</w:instrText>
          </w:r>
          <w:r w:rsidRPr="0063693A">
            <w:fldChar w:fldCharType="separate"/>
          </w:r>
          <w:r>
            <w:rPr>
              <w:noProof/>
            </w:rPr>
            <w:t>1</w:t>
          </w:r>
          <w:r w:rsidRPr="0063693A">
            <w:fldChar w:fldCharType="end"/>
          </w:r>
          <w:r w:rsidRPr="0063693A">
            <w:t xml:space="preserve"> / </w:t>
          </w:r>
          <w:r>
            <w:fldChar w:fldCharType="begin"/>
          </w:r>
          <w:r>
            <w:instrText>NUMPAGES  \* Arabic  \* MERGEFORMAT</w:instrText>
          </w:r>
          <w:r>
            <w:fldChar w:fldCharType="separate"/>
          </w:r>
          <w:r>
            <w:rPr>
              <w:noProof/>
            </w:rPr>
            <w:t>2</w:t>
          </w:r>
          <w:r>
            <w:rPr>
              <w:noProof/>
            </w:rPr>
            <w:fldChar w:fldCharType="end"/>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21F"/>
    <w:multiLevelType w:val="hybridMultilevel"/>
    <w:tmpl w:val="D26AD02C"/>
    <w:lvl w:ilvl="0" w:tplc="B7FAAAFA">
      <w:start w:val="1"/>
      <w:numFmt w:val="decimal"/>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E429DD"/>
    <w:multiLevelType w:val="hybridMultilevel"/>
    <w:tmpl w:val="ED266830"/>
    <w:lvl w:ilvl="0" w:tplc="041F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86332">
    <w:abstractNumId w:val="29"/>
  </w:num>
  <w:num w:numId="2" w16cid:durableId="233050242">
    <w:abstractNumId w:val="26"/>
  </w:num>
  <w:num w:numId="3" w16cid:durableId="790901469">
    <w:abstractNumId w:val="6"/>
  </w:num>
  <w:num w:numId="4" w16cid:durableId="21631699">
    <w:abstractNumId w:val="10"/>
  </w:num>
  <w:num w:numId="5" w16cid:durableId="55399032">
    <w:abstractNumId w:val="5"/>
  </w:num>
  <w:num w:numId="6" w16cid:durableId="151263114">
    <w:abstractNumId w:val="13"/>
  </w:num>
  <w:num w:numId="7" w16cid:durableId="1629579640">
    <w:abstractNumId w:val="12"/>
  </w:num>
  <w:num w:numId="8" w16cid:durableId="550387933">
    <w:abstractNumId w:val="3"/>
  </w:num>
  <w:num w:numId="9" w16cid:durableId="220408017">
    <w:abstractNumId w:val="20"/>
  </w:num>
  <w:num w:numId="10" w16cid:durableId="504981834">
    <w:abstractNumId w:val="8"/>
  </w:num>
  <w:num w:numId="11" w16cid:durableId="1727682331">
    <w:abstractNumId w:val="17"/>
  </w:num>
  <w:num w:numId="12" w16cid:durableId="541751944">
    <w:abstractNumId w:val="25"/>
  </w:num>
  <w:num w:numId="13" w16cid:durableId="15432">
    <w:abstractNumId w:val="28"/>
  </w:num>
  <w:num w:numId="14" w16cid:durableId="22946178">
    <w:abstractNumId w:val="16"/>
  </w:num>
  <w:num w:numId="15" w16cid:durableId="1568177882">
    <w:abstractNumId w:val="2"/>
  </w:num>
  <w:num w:numId="16" w16cid:durableId="97915403">
    <w:abstractNumId w:val="18"/>
  </w:num>
  <w:num w:numId="17" w16cid:durableId="304160340">
    <w:abstractNumId w:val="9"/>
  </w:num>
  <w:num w:numId="18" w16cid:durableId="825512249">
    <w:abstractNumId w:val="7"/>
  </w:num>
  <w:num w:numId="19" w16cid:durableId="1014306965">
    <w:abstractNumId w:val="22"/>
    <w:lvlOverride w:ilvl="0">
      <w:startOverride w:val="1"/>
    </w:lvlOverride>
  </w:num>
  <w:num w:numId="20" w16cid:durableId="1800414426">
    <w:abstractNumId w:val="27"/>
  </w:num>
  <w:num w:numId="21" w16cid:durableId="1150681108">
    <w:abstractNumId w:val="1"/>
  </w:num>
  <w:num w:numId="22" w16cid:durableId="1842815369">
    <w:abstractNumId w:val="23"/>
  </w:num>
  <w:num w:numId="23" w16cid:durableId="920992018">
    <w:abstractNumId w:val="21"/>
  </w:num>
  <w:num w:numId="24" w16cid:durableId="349718759">
    <w:abstractNumId w:val="14"/>
  </w:num>
  <w:num w:numId="25" w16cid:durableId="2113746193">
    <w:abstractNumId w:val="19"/>
  </w:num>
  <w:num w:numId="26" w16cid:durableId="1406295597">
    <w:abstractNumId w:val="24"/>
  </w:num>
  <w:num w:numId="27" w16cid:durableId="845250049">
    <w:abstractNumId w:val="4"/>
  </w:num>
  <w:num w:numId="28" w16cid:durableId="813260331">
    <w:abstractNumId w:val="11"/>
  </w:num>
  <w:num w:numId="29" w16cid:durableId="6309366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6093887">
    <w:abstractNumId w:val="0"/>
  </w:num>
  <w:num w:numId="31" w16cid:durableId="1302613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E29"/>
    <w:rsid w:val="00007DD1"/>
    <w:rsid w:val="00016976"/>
    <w:rsid w:val="00032CEE"/>
    <w:rsid w:val="00033F4D"/>
    <w:rsid w:val="00073951"/>
    <w:rsid w:val="000740A2"/>
    <w:rsid w:val="00083B2C"/>
    <w:rsid w:val="00092DCA"/>
    <w:rsid w:val="000A03C5"/>
    <w:rsid w:val="000A273C"/>
    <w:rsid w:val="000A48A5"/>
    <w:rsid w:val="000C0E70"/>
    <w:rsid w:val="000D250F"/>
    <w:rsid w:val="000E4BE9"/>
    <w:rsid w:val="00124070"/>
    <w:rsid w:val="00124EF8"/>
    <w:rsid w:val="00142EA5"/>
    <w:rsid w:val="00144C09"/>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663CC"/>
    <w:rsid w:val="00273363"/>
    <w:rsid w:val="00273550"/>
    <w:rsid w:val="0028635A"/>
    <w:rsid w:val="0029018E"/>
    <w:rsid w:val="0029458A"/>
    <w:rsid w:val="002B5A02"/>
    <w:rsid w:val="002C086B"/>
    <w:rsid w:val="002C3F38"/>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C23AB"/>
    <w:rsid w:val="003D363F"/>
    <w:rsid w:val="003D6853"/>
    <w:rsid w:val="003F51DD"/>
    <w:rsid w:val="004010F4"/>
    <w:rsid w:val="0041445E"/>
    <w:rsid w:val="00441E30"/>
    <w:rsid w:val="004428DE"/>
    <w:rsid w:val="00455EE2"/>
    <w:rsid w:val="004645A2"/>
    <w:rsid w:val="004747B4"/>
    <w:rsid w:val="00476BC4"/>
    <w:rsid w:val="0048131B"/>
    <w:rsid w:val="00490412"/>
    <w:rsid w:val="00493DB0"/>
    <w:rsid w:val="004954E7"/>
    <w:rsid w:val="004A4ABE"/>
    <w:rsid w:val="004A5FF3"/>
    <w:rsid w:val="004C3F0C"/>
    <w:rsid w:val="004C6B4C"/>
    <w:rsid w:val="004D5E39"/>
    <w:rsid w:val="004E320F"/>
    <w:rsid w:val="00503D59"/>
    <w:rsid w:val="0051146B"/>
    <w:rsid w:val="00512044"/>
    <w:rsid w:val="00517EED"/>
    <w:rsid w:val="00524C90"/>
    <w:rsid w:val="005260F0"/>
    <w:rsid w:val="005322D1"/>
    <w:rsid w:val="00544808"/>
    <w:rsid w:val="00581BDD"/>
    <w:rsid w:val="00591334"/>
    <w:rsid w:val="005A2211"/>
    <w:rsid w:val="005C4ADB"/>
    <w:rsid w:val="005F47F8"/>
    <w:rsid w:val="006079AE"/>
    <w:rsid w:val="00615235"/>
    <w:rsid w:val="0063113B"/>
    <w:rsid w:val="006325EA"/>
    <w:rsid w:val="00632E35"/>
    <w:rsid w:val="0063415C"/>
    <w:rsid w:val="0063693A"/>
    <w:rsid w:val="0065142C"/>
    <w:rsid w:val="0065462F"/>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2C85"/>
    <w:rsid w:val="0075657F"/>
    <w:rsid w:val="00760B42"/>
    <w:rsid w:val="007775F6"/>
    <w:rsid w:val="00782462"/>
    <w:rsid w:val="007841A1"/>
    <w:rsid w:val="0078440C"/>
    <w:rsid w:val="00790549"/>
    <w:rsid w:val="00795B52"/>
    <w:rsid w:val="007A0223"/>
    <w:rsid w:val="007A546D"/>
    <w:rsid w:val="007B1C86"/>
    <w:rsid w:val="007B4963"/>
    <w:rsid w:val="007B6547"/>
    <w:rsid w:val="007B742B"/>
    <w:rsid w:val="007C0384"/>
    <w:rsid w:val="007D1B61"/>
    <w:rsid w:val="007E1088"/>
    <w:rsid w:val="007F5085"/>
    <w:rsid w:val="00820A0B"/>
    <w:rsid w:val="00832FCC"/>
    <w:rsid w:val="00852B31"/>
    <w:rsid w:val="00872FDC"/>
    <w:rsid w:val="008738F4"/>
    <w:rsid w:val="008A5FD8"/>
    <w:rsid w:val="008C115F"/>
    <w:rsid w:val="008D27A1"/>
    <w:rsid w:val="008D4BE8"/>
    <w:rsid w:val="008F43C8"/>
    <w:rsid w:val="00917C74"/>
    <w:rsid w:val="00926577"/>
    <w:rsid w:val="00926F55"/>
    <w:rsid w:val="009315F9"/>
    <w:rsid w:val="009331A9"/>
    <w:rsid w:val="00935DF2"/>
    <w:rsid w:val="00936172"/>
    <w:rsid w:val="00936945"/>
    <w:rsid w:val="00957269"/>
    <w:rsid w:val="009634BE"/>
    <w:rsid w:val="009838FA"/>
    <w:rsid w:val="009920EC"/>
    <w:rsid w:val="0099775D"/>
    <w:rsid w:val="009D067F"/>
    <w:rsid w:val="009D0F2C"/>
    <w:rsid w:val="009D2D93"/>
    <w:rsid w:val="009D5080"/>
    <w:rsid w:val="009E2DF4"/>
    <w:rsid w:val="009F0D91"/>
    <w:rsid w:val="009F5ABB"/>
    <w:rsid w:val="009F6833"/>
    <w:rsid w:val="00A045FF"/>
    <w:rsid w:val="00A1047B"/>
    <w:rsid w:val="00A27A71"/>
    <w:rsid w:val="00A41FC0"/>
    <w:rsid w:val="00A4526C"/>
    <w:rsid w:val="00A86033"/>
    <w:rsid w:val="00AA0D67"/>
    <w:rsid w:val="00AA43A1"/>
    <w:rsid w:val="00AB1F2D"/>
    <w:rsid w:val="00AB7599"/>
    <w:rsid w:val="00AC15E0"/>
    <w:rsid w:val="00AC29DF"/>
    <w:rsid w:val="00AC3081"/>
    <w:rsid w:val="00AD65CC"/>
    <w:rsid w:val="00AE6502"/>
    <w:rsid w:val="00AF0D70"/>
    <w:rsid w:val="00B0620C"/>
    <w:rsid w:val="00B11B71"/>
    <w:rsid w:val="00B13CF6"/>
    <w:rsid w:val="00B2717F"/>
    <w:rsid w:val="00B27C9D"/>
    <w:rsid w:val="00B36539"/>
    <w:rsid w:val="00B3737A"/>
    <w:rsid w:val="00B47885"/>
    <w:rsid w:val="00B47B5E"/>
    <w:rsid w:val="00B6062E"/>
    <w:rsid w:val="00B700B4"/>
    <w:rsid w:val="00B823A7"/>
    <w:rsid w:val="00B9229A"/>
    <w:rsid w:val="00B96859"/>
    <w:rsid w:val="00BA7288"/>
    <w:rsid w:val="00BC3F0D"/>
    <w:rsid w:val="00BD5C35"/>
    <w:rsid w:val="00BE3029"/>
    <w:rsid w:val="00BF64E9"/>
    <w:rsid w:val="00C00F86"/>
    <w:rsid w:val="00C0349A"/>
    <w:rsid w:val="00C1272A"/>
    <w:rsid w:val="00C17EA0"/>
    <w:rsid w:val="00C333FB"/>
    <w:rsid w:val="00C36770"/>
    <w:rsid w:val="00C56C88"/>
    <w:rsid w:val="00C7582B"/>
    <w:rsid w:val="00C76404"/>
    <w:rsid w:val="00C91027"/>
    <w:rsid w:val="00C91FE9"/>
    <w:rsid w:val="00CA46CC"/>
    <w:rsid w:val="00CC5A3C"/>
    <w:rsid w:val="00CC6BE4"/>
    <w:rsid w:val="00CD3B92"/>
    <w:rsid w:val="00CD3D07"/>
    <w:rsid w:val="00CD40CD"/>
    <w:rsid w:val="00CD489C"/>
    <w:rsid w:val="00CE771C"/>
    <w:rsid w:val="00D018D2"/>
    <w:rsid w:val="00D0319A"/>
    <w:rsid w:val="00D0415A"/>
    <w:rsid w:val="00D11CAF"/>
    <w:rsid w:val="00D141F0"/>
    <w:rsid w:val="00D20988"/>
    <w:rsid w:val="00D26B60"/>
    <w:rsid w:val="00D30594"/>
    <w:rsid w:val="00D3407E"/>
    <w:rsid w:val="00D43730"/>
    <w:rsid w:val="00D76E74"/>
    <w:rsid w:val="00D81111"/>
    <w:rsid w:val="00D81D9D"/>
    <w:rsid w:val="00D82ADE"/>
    <w:rsid w:val="00D832E4"/>
    <w:rsid w:val="00D84EC9"/>
    <w:rsid w:val="00D8635C"/>
    <w:rsid w:val="00DA1F73"/>
    <w:rsid w:val="00DA7364"/>
    <w:rsid w:val="00DA7A3B"/>
    <w:rsid w:val="00DA7CD0"/>
    <w:rsid w:val="00DB29EC"/>
    <w:rsid w:val="00DC3F98"/>
    <w:rsid w:val="00DD4A56"/>
    <w:rsid w:val="00DD5EBE"/>
    <w:rsid w:val="00DE2FEC"/>
    <w:rsid w:val="00DF2690"/>
    <w:rsid w:val="00DF3795"/>
    <w:rsid w:val="00E05152"/>
    <w:rsid w:val="00E10C3F"/>
    <w:rsid w:val="00E123FE"/>
    <w:rsid w:val="00E146A6"/>
    <w:rsid w:val="00E35422"/>
    <w:rsid w:val="00E40805"/>
    <w:rsid w:val="00E41046"/>
    <w:rsid w:val="00E46073"/>
    <w:rsid w:val="00E4722D"/>
    <w:rsid w:val="00E8457A"/>
    <w:rsid w:val="00E84A9E"/>
    <w:rsid w:val="00E924BF"/>
    <w:rsid w:val="00ED1450"/>
    <w:rsid w:val="00ED6160"/>
    <w:rsid w:val="00EE7550"/>
    <w:rsid w:val="00EF035B"/>
    <w:rsid w:val="00EF4223"/>
    <w:rsid w:val="00EF5A86"/>
    <w:rsid w:val="00F00C25"/>
    <w:rsid w:val="00F21AB0"/>
    <w:rsid w:val="00F247D1"/>
    <w:rsid w:val="00F30345"/>
    <w:rsid w:val="00F30A4E"/>
    <w:rsid w:val="00F37993"/>
    <w:rsid w:val="00F6184A"/>
    <w:rsid w:val="00F75E97"/>
    <w:rsid w:val="00F810C6"/>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152"/>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599220398">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C118-2495-4993-92FB-FCF702E8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361</Words>
  <Characters>2062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19</cp:revision>
  <cp:lastPrinted>2022-04-20T11:11:00Z</cp:lastPrinted>
  <dcterms:created xsi:type="dcterms:W3CDTF">2022-09-23T07:14:00Z</dcterms:created>
  <dcterms:modified xsi:type="dcterms:W3CDTF">2024-01-31T07:46:00Z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d3f4aad71dcd72cf54711d655eeb67a7fa23de0f4678eee9f4ce0b674cadce5d</vt:lpwstr>
  </property>
</Properties>
</file>