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5"/>
      </w:tblGrid>
      <w:tr w:rsidR="008E6AC5" w:rsidRPr="00BC4462" w14:paraId="4A869CC8" w14:textId="77777777" w:rsidTr="00BC4462">
        <w:trPr>
          <w:trHeight w:val="10350"/>
        </w:trPr>
        <w:tc>
          <w:tcPr>
            <w:tcW w:w="10915" w:type="dxa"/>
          </w:tcPr>
          <w:p w14:paraId="565C9EEB" w14:textId="77777777" w:rsidR="00152EC9" w:rsidRPr="00BC4462" w:rsidRDefault="00152EC9" w:rsidP="00152EC9">
            <w:pPr>
              <w:jc w:val="both"/>
              <w:rPr>
                <w:rFonts w:ascii="Times New Roman" w:hAnsi="Times New Roman" w:cs="Times New Roman"/>
                <w:b/>
              </w:rPr>
            </w:pPr>
            <w:r w:rsidRPr="00BC4462">
              <w:rPr>
                <w:rFonts w:ascii="Times New Roman" w:hAnsi="Times New Roman" w:cs="Times New Roman"/>
                <w:b/>
              </w:rPr>
              <w:t>1.AMAÇ</w:t>
            </w:r>
          </w:p>
          <w:p w14:paraId="3A497C28" w14:textId="77777777" w:rsidR="00152EC9" w:rsidRPr="00BC4462" w:rsidRDefault="000F0966" w:rsidP="00152EC9">
            <w:pPr>
              <w:jc w:val="both"/>
              <w:rPr>
                <w:rFonts w:ascii="Times New Roman" w:hAnsi="Times New Roman" w:cs="Times New Roman"/>
              </w:rPr>
            </w:pPr>
            <w:r w:rsidRPr="00BC4462">
              <w:rPr>
                <w:rFonts w:ascii="Times New Roman" w:hAnsi="Times New Roman" w:cs="Times New Roman"/>
              </w:rPr>
              <w:t>Bu talimatın amacı Harran Ü</w:t>
            </w:r>
            <w:r w:rsidR="00152EC9" w:rsidRPr="00BC4462">
              <w:rPr>
                <w:rFonts w:ascii="Times New Roman" w:hAnsi="Times New Roman" w:cs="Times New Roman"/>
              </w:rPr>
              <w:t>niversitesi bünyesinde bulunan İdari Mali İşler Daire Başkanlığının sorumluluğundaki depolarda yer alan taşınırların uygun koşullarda depolanması, kontrolü ve idaresinin talimatlara uygun olarak yapılmasını sağlamaktır.</w:t>
            </w:r>
          </w:p>
          <w:p w14:paraId="302CDBC1" w14:textId="77777777" w:rsidR="00152EC9" w:rsidRPr="00BC4462" w:rsidRDefault="00152EC9" w:rsidP="00152EC9">
            <w:pPr>
              <w:jc w:val="both"/>
              <w:rPr>
                <w:rFonts w:ascii="Times New Roman" w:hAnsi="Times New Roman" w:cs="Times New Roman"/>
                <w:b/>
              </w:rPr>
            </w:pPr>
            <w:r w:rsidRPr="00BC4462">
              <w:rPr>
                <w:rFonts w:ascii="Times New Roman" w:hAnsi="Times New Roman" w:cs="Times New Roman"/>
                <w:b/>
              </w:rPr>
              <w:t>3. TANIMLAR</w:t>
            </w:r>
          </w:p>
          <w:p w14:paraId="43F7510E" w14:textId="77777777" w:rsidR="00152EC9" w:rsidRPr="00BC4462" w:rsidRDefault="00152EC9" w:rsidP="00152EC9">
            <w:pPr>
              <w:jc w:val="both"/>
              <w:rPr>
                <w:rFonts w:ascii="Times New Roman" w:hAnsi="Times New Roman" w:cs="Times New Roman"/>
              </w:rPr>
            </w:pPr>
            <w:r w:rsidRPr="00BC4462">
              <w:rPr>
                <w:rFonts w:ascii="Times New Roman" w:hAnsi="Times New Roman" w:cs="Times New Roman"/>
                <w:b/>
              </w:rPr>
              <w:t xml:space="preserve">Kullanılabilir (ikinci el) malzeme: </w:t>
            </w:r>
            <w:r w:rsidRPr="00BC4462">
              <w:rPr>
                <w:rFonts w:ascii="Times New Roman" w:hAnsi="Times New Roman" w:cs="Times New Roman"/>
              </w:rPr>
              <w:t>Depoda bulunun önceden kullanılmış talebe göre tekrar kullanılabilecek malzemeleri ifade eder.</w:t>
            </w:r>
          </w:p>
          <w:p w14:paraId="01ED6D0B" w14:textId="77777777" w:rsidR="00152EC9" w:rsidRPr="00BC4462" w:rsidRDefault="00152EC9" w:rsidP="00152EC9">
            <w:pPr>
              <w:jc w:val="both"/>
              <w:rPr>
                <w:rFonts w:ascii="Times New Roman" w:hAnsi="Times New Roman" w:cs="Times New Roman"/>
              </w:rPr>
            </w:pPr>
            <w:r w:rsidRPr="00BC4462">
              <w:rPr>
                <w:rFonts w:ascii="Times New Roman" w:hAnsi="Times New Roman" w:cs="Times New Roman"/>
                <w:b/>
              </w:rPr>
              <w:t>Yeni malzeme:</w:t>
            </w:r>
            <w:r w:rsidRPr="00BC4462">
              <w:rPr>
                <w:rFonts w:ascii="Times New Roman" w:hAnsi="Times New Roman" w:cs="Times New Roman"/>
              </w:rPr>
              <w:t xml:space="preserve"> Depoda bulunmayan ve isteğe bağlı sipariş sonrası depoda bulunan yeni donanımları ifade eder.</w:t>
            </w:r>
          </w:p>
          <w:p w14:paraId="0C7CE224" w14:textId="77777777" w:rsidR="00152EC9" w:rsidRPr="00BC4462" w:rsidRDefault="00152EC9" w:rsidP="00152EC9">
            <w:pPr>
              <w:jc w:val="both"/>
              <w:rPr>
                <w:rFonts w:ascii="Times New Roman" w:hAnsi="Times New Roman" w:cs="Times New Roman"/>
              </w:rPr>
            </w:pPr>
            <w:r w:rsidRPr="00BC4462">
              <w:rPr>
                <w:rFonts w:ascii="Times New Roman" w:hAnsi="Times New Roman" w:cs="Times New Roman"/>
                <w:b/>
              </w:rPr>
              <w:t xml:space="preserve">Numune: </w:t>
            </w:r>
            <w:r w:rsidRPr="00BC4462">
              <w:rPr>
                <w:rFonts w:ascii="Times New Roman" w:hAnsi="Times New Roman" w:cs="Times New Roman"/>
              </w:rPr>
              <w:t>Siparişi yapılan malzemelerin niteliğini belirtmek, özelliklerini göstermek amacıyla, o maldan bedelsiz verdiği veya gönderdiği parçayı ifade eder.</w:t>
            </w:r>
          </w:p>
          <w:p w14:paraId="2DFC39D3" w14:textId="77777777" w:rsidR="00152EC9" w:rsidRPr="00BC4462" w:rsidRDefault="00152EC9" w:rsidP="00152EC9">
            <w:pPr>
              <w:jc w:val="both"/>
              <w:rPr>
                <w:rFonts w:ascii="Times New Roman" w:hAnsi="Times New Roman" w:cs="Times New Roman"/>
                <w:b/>
              </w:rPr>
            </w:pPr>
            <w:r w:rsidRPr="00BC4462">
              <w:rPr>
                <w:rFonts w:ascii="Times New Roman" w:hAnsi="Times New Roman" w:cs="Times New Roman"/>
                <w:b/>
              </w:rPr>
              <w:t xml:space="preserve">Kimyasal malzeme: </w:t>
            </w:r>
            <w:r w:rsidRPr="00BC4462">
              <w:rPr>
                <w:rFonts w:ascii="Times New Roman" w:hAnsi="Times New Roman" w:cs="Times New Roman"/>
              </w:rPr>
              <w:t>Depo içerisindeki ayrı bir bölümde uygun koşullarda ve ayrı bir raflı dolapta muhafaza edilen malzemeleri ifade eder.</w:t>
            </w:r>
          </w:p>
          <w:p w14:paraId="40432DB5" w14:textId="77777777" w:rsidR="00152EC9" w:rsidRPr="00BC4462" w:rsidRDefault="00152EC9" w:rsidP="00152EC9">
            <w:pPr>
              <w:jc w:val="both"/>
              <w:rPr>
                <w:rFonts w:ascii="Times New Roman" w:hAnsi="Times New Roman" w:cs="Times New Roman"/>
              </w:rPr>
            </w:pPr>
            <w:r w:rsidRPr="00BC4462">
              <w:rPr>
                <w:rFonts w:ascii="Times New Roman" w:hAnsi="Times New Roman" w:cs="Times New Roman"/>
                <w:b/>
              </w:rPr>
              <w:t>Hurda:</w:t>
            </w:r>
            <w:r w:rsidRPr="00BC4462">
              <w:rPr>
                <w:rFonts w:ascii="Times New Roman" w:hAnsi="Times New Roman" w:cs="Times New Roman"/>
              </w:rPr>
              <w:t xml:space="preserve">  Ekonomik ömrünü tamamlamış olan veya tamamlamadığı halde teknik ve fiziki nedenlerle alınış amaçları doğrultusunda kullanılması imkânı kalmayan veya tamiri mümkün veya ekonomik olmayan arızalar nedeniyle kullanılmasında yarar görülmeyerek hizmet dışı bırakılan taşınırlar ile üretim sırasında elde edilen kırpıntı, döküntü ve artık parçaları ifade eder.</w:t>
            </w:r>
          </w:p>
          <w:p w14:paraId="6C3D5015" w14:textId="77777777" w:rsidR="00152EC9" w:rsidRPr="00BC4462" w:rsidRDefault="00152EC9" w:rsidP="00152EC9">
            <w:pPr>
              <w:autoSpaceDE w:val="0"/>
              <w:autoSpaceDN w:val="0"/>
              <w:adjustRightInd w:val="0"/>
              <w:jc w:val="both"/>
              <w:rPr>
                <w:rFonts w:ascii="Times New Roman" w:hAnsi="Times New Roman" w:cs="Times New Roman"/>
              </w:rPr>
            </w:pPr>
            <w:r w:rsidRPr="00BC4462">
              <w:rPr>
                <w:rFonts w:ascii="Times New Roman" w:hAnsi="Times New Roman" w:cs="Times New Roman"/>
                <w:b/>
              </w:rPr>
              <w:t>Taşınır kontrol yetkilisi:</w:t>
            </w:r>
            <w:r w:rsidRPr="00BC4462">
              <w:rPr>
                <w:rFonts w:ascii="Times New Roman" w:hAnsi="Times New Roman" w:cs="Times New Roman"/>
              </w:rPr>
              <w:t xml:space="preserve"> Taşınır kayıt yetkilisinin yapmış olduğu kayıt ve işlemler ile düzenlediği belge ve cetvellerin mevzuata ve mali tablolara uygunluğunu kontrol eden, Harcama Birimi Taşınır Mal Yönetim Hesabı Cetvelini imzalayan ve bu konularda harcama yetkilisine karşı sorumlu olan görevlileri,</w:t>
            </w:r>
          </w:p>
          <w:p w14:paraId="07361730" w14:textId="77777777" w:rsidR="00152EC9" w:rsidRPr="00BC4462" w:rsidRDefault="00152EC9" w:rsidP="00152EC9">
            <w:pPr>
              <w:autoSpaceDE w:val="0"/>
              <w:autoSpaceDN w:val="0"/>
              <w:adjustRightInd w:val="0"/>
              <w:jc w:val="both"/>
              <w:rPr>
                <w:rFonts w:ascii="Times New Roman" w:hAnsi="Times New Roman" w:cs="Times New Roman"/>
              </w:rPr>
            </w:pPr>
            <w:r w:rsidRPr="00BC4462">
              <w:rPr>
                <w:rFonts w:ascii="Times New Roman" w:hAnsi="Times New Roman" w:cs="Times New Roman"/>
                <w:b/>
              </w:rPr>
              <w:t>Taşınır kayıt yetkilisi:</w:t>
            </w:r>
            <w:r w:rsidRPr="00BC4462">
              <w:rPr>
                <w:rFonts w:ascii="Times New Roman" w:hAnsi="Times New Roman" w:cs="Times New Roman"/>
              </w:rPr>
              <w:t xml:space="preserve"> Taşınırları teslim alan, sorumluluğundaki ambarlarda muhafaza eden, kullanıcılarına ve kullanım yerlerine teslim eden, bu Yönetmelikte belirtilen esas ve usullere göre kayıtları tutan, bunlara ilişkin belge ve cetvelleri düzenleyen ve bu hususlarda hesap verme sorumluluğu çerçevesinde taşınır kontrol yetkilisi ve harcama yetkilisine karşı sorumlu olan görevlileri,</w:t>
            </w:r>
          </w:p>
          <w:p w14:paraId="41245318" w14:textId="77777777" w:rsidR="00152EC9" w:rsidRPr="00BC4462" w:rsidRDefault="00152EC9" w:rsidP="00152EC9">
            <w:pPr>
              <w:jc w:val="both"/>
              <w:rPr>
                <w:rFonts w:ascii="Times New Roman" w:hAnsi="Times New Roman" w:cs="Times New Roman"/>
              </w:rPr>
            </w:pPr>
            <w:r w:rsidRPr="00BC4462">
              <w:rPr>
                <w:rFonts w:ascii="Times New Roman" w:hAnsi="Times New Roman" w:cs="Times New Roman"/>
                <w:b/>
              </w:rPr>
              <w:t>Harcama yetkilisi:</w:t>
            </w:r>
            <w:r w:rsidRPr="00BC4462">
              <w:rPr>
                <w:rFonts w:ascii="Times New Roman" w:hAnsi="Times New Roman" w:cs="Times New Roman"/>
              </w:rPr>
              <w:t xml:space="preserve"> Harcama biriminin en üst yöneticisini (Daire başkanı) ifade eder.</w:t>
            </w:r>
          </w:p>
          <w:p w14:paraId="2994A493" w14:textId="77777777" w:rsidR="00152EC9" w:rsidRPr="00BC4462" w:rsidRDefault="00152EC9" w:rsidP="00152EC9">
            <w:pPr>
              <w:jc w:val="both"/>
              <w:rPr>
                <w:rFonts w:ascii="Times New Roman" w:hAnsi="Times New Roman" w:cs="Times New Roman"/>
              </w:rPr>
            </w:pPr>
            <w:r w:rsidRPr="00BC4462">
              <w:rPr>
                <w:rFonts w:ascii="Times New Roman" w:hAnsi="Times New Roman" w:cs="Times New Roman"/>
                <w:b/>
              </w:rPr>
              <w:t>Taşınır İşlem Fişi (TİF):</w:t>
            </w:r>
            <w:r w:rsidRPr="00BC4462">
              <w:rPr>
                <w:rFonts w:ascii="Times New Roman" w:hAnsi="Times New Roman" w:cs="Times New Roman"/>
              </w:rPr>
              <w:t xml:space="preserve"> Muayene ve Kabul komisyonu tarafından onaylanan ürünlerin ambara kabulü, tüketime verilmesi, başka ambarlara aktarılması vb. amaçlarla kullanılan ve örneği Taşınır Mal Yönetmeliği ekinde gösterilen fişi ifade eder.</w:t>
            </w:r>
          </w:p>
          <w:p w14:paraId="467A619C" w14:textId="77777777" w:rsidR="00152EC9" w:rsidRPr="00BC4462" w:rsidRDefault="00152EC9" w:rsidP="00152EC9">
            <w:pPr>
              <w:jc w:val="both"/>
              <w:rPr>
                <w:rFonts w:ascii="Times New Roman" w:hAnsi="Times New Roman" w:cs="Times New Roman"/>
              </w:rPr>
            </w:pPr>
            <w:r w:rsidRPr="00BC4462">
              <w:rPr>
                <w:rFonts w:ascii="Times New Roman" w:hAnsi="Times New Roman" w:cs="Times New Roman"/>
                <w:b/>
              </w:rPr>
              <w:t xml:space="preserve">Taşınır İstek Belgesi </w:t>
            </w:r>
            <w:r w:rsidRPr="00BC4462">
              <w:rPr>
                <w:rFonts w:ascii="Times New Roman" w:hAnsi="Times New Roman" w:cs="Times New Roman"/>
              </w:rPr>
              <w:t xml:space="preserve">: Ambardan, taşınır talep edildiğinde kullanılan ve talepte bulunan birim yetkilisinin onayını taşıyan belgeyi ifade eder. </w:t>
            </w:r>
          </w:p>
          <w:p w14:paraId="5FFF7F14" w14:textId="77777777" w:rsidR="00152EC9" w:rsidRPr="00BC4462" w:rsidRDefault="00152EC9" w:rsidP="00152EC9">
            <w:pPr>
              <w:jc w:val="both"/>
              <w:rPr>
                <w:rFonts w:ascii="Times New Roman" w:hAnsi="Times New Roman" w:cs="Times New Roman"/>
              </w:rPr>
            </w:pPr>
            <w:r w:rsidRPr="00BC4462">
              <w:rPr>
                <w:rFonts w:ascii="Times New Roman" w:hAnsi="Times New Roman" w:cs="Times New Roman"/>
                <w:b/>
              </w:rPr>
              <w:t xml:space="preserve">Zimmet Fişi </w:t>
            </w:r>
            <w:r w:rsidRPr="00BC4462">
              <w:rPr>
                <w:rFonts w:ascii="Times New Roman" w:hAnsi="Times New Roman" w:cs="Times New Roman"/>
              </w:rPr>
              <w:t xml:space="preserve">: Dayanıklı Taşınırların kullanıcılarına tesliminde düzenlenen ve Taşınır Mal Yönetmeliği ekinde gösterilen fişi ifade eder. </w:t>
            </w:r>
          </w:p>
          <w:p w14:paraId="67BB0133" w14:textId="77777777" w:rsidR="00152EC9" w:rsidRPr="00BC4462" w:rsidRDefault="00152EC9" w:rsidP="00152EC9">
            <w:pPr>
              <w:jc w:val="both"/>
              <w:rPr>
                <w:rFonts w:ascii="Times New Roman" w:hAnsi="Times New Roman" w:cs="Times New Roman"/>
              </w:rPr>
            </w:pPr>
            <w:r w:rsidRPr="00BC4462">
              <w:rPr>
                <w:rFonts w:ascii="Times New Roman" w:hAnsi="Times New Roman" w:cs="Times New Roman"/>
                <w:b/>
              </w:rPr>
              <w:t>Kayıttan Düşme Teklif ve Onay Tutanağı</w:t>
            </w:r>
            <w:r w:rsidRPr="00BC4462">
              <w:rPr>
                <w:rFonts w:ascii="Times New Roman" w:hAnsi="Times New Roman" w:cs="Times New Roman"/>
              </w:rPr>
              <w:t xml:space="preserve"> : Taşınırların kaybolma, çalınma ve fire gibi herhangi bir nedenle yok olması; yıpranma, kırılma veya bozulma gibi nedenlerle kullanılamaz hale gelmesi; hurdaya ayrılması ile canlı taşınırların ölmesi gibi nedenlerle kayıtlardan düşülmesini sağlamak amacıyla düzenlenen ve örneği Taşınır Mal Yönetmeliği ekinde gösterilen tutanağı ifade eder.</w:t>
            </w:r>
          </w:p>
          <w:p w14:paraId="0C29E0B1" w14:textId="77777777" w:rsidR="00152EC9" w:rsidRPr="00BC4462" w:rsidRDefault="00152EC9" w:rsidP="00152EC9">
            <w:pPr>
              <w:jc w:val="both"/>
              <w:rPr>
                <w:rFonts w:ascii="Times New Roman" w:hAnsi="Times New Roman" w:cs="Times New Roman"/>
              </w:rPr>
            </w:pPr>
            <w:r w:rsidRPr="00BC4462">
              <w:rPr>
                <w:rFonts w:ascii="Times New Roman" w:hAnsi="Times New Roman" w:cs="Times New Roman"/>
                <w:b/>
              </w:rPr>
              <w:lastRenderedPageBreak/>
              <w:t xml:space="preserve">Stok Takip Kartı: </w:t>
            </w:r>
            <w:r w:rsidRPr="00BC4462">
              <w:rPr>
                <w:rFonts w:ascii="Times New Roman" w:hAnsi="Times New Roman" w:cs="Times New Roman"/>
              </w:rPr>
              <w:t>Ambarda bulunan malzemelerin içeriği ile giriş, çıkış ve kalan durumlarını gösteren takip kartı.</w:t>
            </w:r>
          </w:p>
          <w:p w14:paraId="3D9D8DA3" w14:textId="77777777" w:rsidR="00152EC9" w:rsidRPr="00BC4462" w:rsidRDefault="00152EC9" w:rsidP="00152EC9">
            <w:pPr>
              <w:jc w:val="both"/>
              <w:rPr>
                <w:rFonts w:ascii="Times New Roman" w:hAnsi="Times New Roman" w:cs="Times New Roman"/>
                <w:b/>
              </w:rPr>
            </w:pPr>
            <w:r w:rsidRPr="00BC4462">
              <w:rPr>
                <w:rFonts w:ascii="Times New Roman" w:hAnsi="Times New Roman" w:cs="Times New Roman"/>
                <w:b/>
              </w:rPr>
              <w:t>4. SORUMLULUKLAR</w:t>
            </w:r>
          </w:p>
          <w:p w14:paraId="604F8DEA" w14:textId="77777777" w:rsidR="00152EC9" w:rsidRPr="00BC4462" w:rsidRDefault="00152EC9" w:rsidP="00152EC9">
            <w:pPr>
              <w:jc w:val="both"/>
              <w:rPr>
                <w:rFonts w:ascii="Times New Roman" w:hAnsi="Times New Roman" w:cs="Times New Roman"/>
              </w:rPr>
            </w:pPr>
            <w:r w:rsidRPr="00BC4462">
              <w:rPr>
                <w:rFonts w:ascii="Times New Roman" w:hAnsi="Times New Roman" w:cs="Times New Roman"/>
              </w:rPr>
              <w:t>Bu talimatın uygulanmasından, Harcama Yetkilileri, Taşınır Kontrol Yetkilisi, Taşınır Kayıt Yetkilileri sorumludur.</w:t>
            </w:r>
          </w:p>
          <w:p w14:paraId="670432D5" w14:textId="77777777" w:rsidR="00152EC9" w:rsidRPr="00BC4462" w:rsidRDefault="00152EC9" w:rsidP="000F0966">
            <w:pPr>
              <w:rPr>
                <w:rFonts w:ascii="Times New Roman" w:hAnsi="Times New Roman" w:cs="Times New Roman"/>
                <w:b/>
              </w:rPr>
            </w:pPr>
            <w:r w:rsidRPr="00BC4462">
              <w:rPr>
                <w:rFonts w:ascii="Times New Roman" w:hAnsi="Times New Roman" w:cs="Times New Roman"/>
                <w:b/>
              </w:rPr>
              <w:t>5. TALİMAT DETAYI VE UYGULAMA:</w:t>
            </w:r>
          </w:p>
          <w:p w14:paraId="271EF3A4"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Taşınır Kayıt Yetkilileri muayene ve kabul komisyonu tarafından onaylanan taşınırları, cins ve niteliklerine göre sayarak, tartarak, ölçerek teslim alır. Muayene işlemi yapılmamış malzemelerin depoya alınması konusunda Taşınır Mal Yönetmeliği hükümleri uygulanır.</w:t>
            </w:r>
          </w:p>
          <w:p w14:paraId="6975A162"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 xml:space="preserve">Depoya alınan taşınırlar; ürünlerin çeşidine göre önceden ayrılmış bölümlere yerleştirilir. Teslim alınan ürünler bilgisayar ortamında </w:t>
            </w:r>
            <w:r w:rsidRPr="00BC4462">
              <w:rPr>
                <w:color w:val="0000FF"/>
                <w:sz w:val="22"/>
                <w:szCs w:val="22"/>
              </w:rPr>
              <w:t>Kamu Harcama ve Muhasebe Bilişim Sistemi (KBS)</w:t>
            </w:r>
            <w:r w:rsidRPr="00BC4462">
              <w:rPr>
                <w:sz w:val="22"/>
                <w:szCs w:val="22"/>
              </w:rPr>
              <w:t xml:space="preserve"> içerisindeki </w:t>
            </w:r>
            <w:r w:rsidRPr="00BC4462">
              <w:rPr>
                <w:color w:val="0000FF"/>
                <w:sz w:val="22"/>
                <w:szCs w:val="22"/>
              </w:rPr>
              <w:t>Stok Takip Kartlarına</w:t>
            </w:r>
            <w:r w:rsidRPr="00BC4462">
              <w:rPr>
                <w:sz w:val="22"/>
                <w:szCs w:val="22"/>
              </w:rPr>
              <w:t xml:space="preserve"> işlenir.</w:t>
            </w:r>
          </w:p>
          <w:p w14:paraId="60BD1F64"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Depolara alınan taşınırların herhangi bir bozulma, kırılma, kaybolma, çalınma vb. durumlara karşı cins ve özelliğine göre uygun fiziki ortamda saklanır.</w:t>
            </w:r>
          </w:p>
          <w:p w14:paraId="526A23A8"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Depo bulunan taşınırların ambar çıkışlarının mutlaka bir belgeye dayanması, sarf malzemelerinin ambar çıkışlarında istek belgesinin, dayanıklı taşınırların kullanıcılarına tesliminde ise zimmet belgesinin düzenlenmiş olması gerekir.</w:t>
            </w:r>
          </w:p>
          <w:p w14:paraId="4CE6C630"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 xml:space="preserve">Depodan gerek tüketime verilen gerekse kullanıcılarına teslim edilen malzemelerin, depoya ilk önce gelen ürün ilk önce çıkarılır prensibi gözetilerek teslimi sağlanır. Çıkan ürünler yine </w:t>
            </w:r>
            <w:r w:rsidRPr="00BC4462">
              <w:rPr>
                <w:color w:val="0000FF"/>
                <w:sz w:val="22"/>
                <w:szCs w:val="22"/>
              </w:rPr>
              <w:t>Kamu Harcama ve Muhasebe Bilişim Sistemi (KBS)</w:t>
            </w:r>
            <w:r w:rsidR="00C17D7E" w:rsidRPr="00BC4462">
              <w:rPr>
                <w:sz w:val="22"/>
                <w:szCs w:val="22"/>
              </w:rPr>
              <w:t xml:space="preserve"> içerisindeki</w:t>
            </w:r>
            <w:r w:rsidRPr="00BC4462">
              <w:rPr>
                <w:sz w:val="22"/>
                <w:szCs w:val="22"/>
              </w:rPr>
              <w:t xml:space="preserve"> </w:t>
            </w:r>
            <w:r w:rsidRPr="00BC4462">
              <w:rPr>
                <w:color w:val="0000FF"/>
                <w:sz w:val="22"/>
                <w:szCs w:val="22"/>
              </w:rPr>
              <w:t>Stok Takip Kartlarına</w:t>
            </w:r>
            <w:r w:rsidR="00C17D7E" w:rsidRPr="00BC4462">
              <w:rPr>
                <w:color w:val="0000FF"/>
                <w:sz w:val="22"/>
                <w:szCs w:val="22"/>
              </w:rPr>
              <w:t xml:space="preserve"> </w:t>
            </w:r>
            <w:r w:rsidRPr="00BC4462">
              <w:rPr>
                <w:sz w:val="22"/>
                <w:szCs w:val="22"/>
              </w:rPr>
              <w:t>işlenir.</w:t>
            </w:r>
          </w:p>
          <w:p w14:paraId="4C4DF754"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Depolarda olası her türlü yangın, su baskını, nem, haşere zararı ve güvenlik tertibatı önlemleri alınmalıdır.  Her depoda yeteri kadar yangın söndürme tüpü bulundurulur.</w:t>
            </w:r>
          </w:p>
          <w:p w14:paraId="66162DD3"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 xml:space="preserve">Deporda olası çalınma, hırsızlık, kaybolma vb. durumlara karşı gerekli güvenlik önlemleri alınmalıdır. Ambarların anahtarı sadece Taşınır Kayıt Yetkilileri ve varsa depo memurunda bulunur. Depoya alınan malzemelerin kapalı ve kilitli dolaplarda muhafaza edilmesi esastır. </w:t>
            </w:r>
          </w:p>
          <w:p w14:paraId="7BE8EF76"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Kullanım ömrü olan malzemelerin depolanması sırasında ürünlerin düzenli stok kontrolü yapılarak tüketiminin zamanında yapılması sağlanır.</w:t>
            </w:r>
          </w:p>
          <w:p w14:paraId="32376CB7"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Ekonomik ömrünü tamamlamış olan veya tamamlamadığı halde teknik ve fiziki nedenlerle kullanılmasında yarar görülmeyerek hizmet dışı bırakılması gerektiği ilgililer veya özel mevzuatı çerçevesinde oluşturulan komisyon tarafından bildirilen taşınırlar, harcama yetkilisinin belirleyeceği en az üç kişiden oluşan komisyon tarafından değerlendirilir.</w:t>
            </w:r>
          </w:p>
          <w:p w14:paraId="13528339"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 xml:space="preserve">Komisyonca yapılan değerlendirme sonucunda hurdaya ayrılması uygun görülmeyen taşınırlar hakkındaki gerekçeli karar harcama yetkilisine bildirilir. </w:t>
            </w:r>
          </w:p>
          <w:p w14:paraId="5F80D3E8"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 xml:space="preserve">Komisyonca hurdaya ayrılmasına karar verilenler için ise </w:t>
            </w:r>
            <w:r w:rsidRPr="00BC4462">
              <w:rPr>
                <w:color w:val="0000FF"/>
                <w:sz w:val="22"/>
                <w:szCs w:val="22"/>
              </w:rPr>
              <w:t>Kamu Harcama ve Muhasebe Bilişim Sistemi (KBS)</w:t>
            </w:r>
            <w:r w:rsidRPr="00BC4462">
              <w:rPr>
                <w:sz w:val="22"/>
                <w:szCs w:val="22"/>
              </w:rPr>
              <w:t xml:space="preserve"> içerisindeki  </w:t>
            </w:r>
            <w:r w:rsidRPr="00BC4462">
              <w:rPr>
                <w:color w:val="0000FF"/>
                <w:sz w:val="22"/>
                <w:szCs w:val="22"/>
              </w:rPr>
              <w:t>Kayıttan Düşme Teklif ve Onay Tutanağı</w:t>
            </w:r>
            <w:r w:rsidRPr="00BC4462">
              <w:rPr>
                <w:sz w:val="22"/>
                <w:szCs w:val="22"/>
              </w:rPr>
              <w:t xml:space="preserve"> düzenlenir. </w:t>
            </w:r>
          </w:p>
          <w:p w14:paraId="6C4E5FF1"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 xml:space="preserve">Hurdaya ayrılmasına karar verilen taşınırlardan kayıtlı değeri Bakanlıkça belirlenecek tutara kadar olanlar harcama yetkilisinin, belirlenen tutarı aşan taşınırlar ise Üst Yöneticinin onayı ile kayıtlardan çıkarılır ve MKE Kurumuna teslim edilir. </w:t>
            </w:r>
          </w:p>
          <w:p w14:paraId="15C399A3"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 xml:space="preserve">Harcama yetkilisince oluşturulacak komisyon tarafından ekonomik değerinin olmadığı veya teknik, sağlık, güvenlik ve benzeri nedenlerle imha edilmesinin şart olduğuna karar verilen taşınırlar, harcama yetkilisinin onayı ile imha edilir. İmha, komisyon veya komisyonun gözetiminde uzman kişiler tarafından yapılır. Bu işleme ilişkin ayrıca bir imha tutanağı düzenlenir. İmha işleminde özel mevzuat hükümleri öncelikle dikkate alınır. </w:t>
            </w:r>
          </w:p>
          <w:p w14:paraId="0BE9CA13"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lastRenderedPageBreak/>
              <w:t xml:space="preserve">Hurdaya ayrılan veya imha edilen taşınırlar </w:t>
            </w:r>
            <w:r w:rsidRPr="00BC4462">
              <w:rPr>
                <w:color w:val="0000FF"/>
                <w:sz w:val="22"/>
                <w:szCs w:val="22"/>
              </w:rPr>
              <w:t>Kamu Harcama ve Muhasebe Bilişim Sistemi (KBS)</w:t>
            </w:r>
            <w:r w:rsidRPr="00BC4462">
              <w:rPr>
                <w:sz w:val="22"/>
                <w:szCs w:val="22"/>
              </w:rPr>
              <w:t xml:space="preserve"> içerisindeki  </w:t>
            </w:r>
            <w:r w:rsidRPr="00BC4462">
              <w:rPr>
                <w:color w:val="0000FF"/>
                <w:sz w:val="22"/>
                <w:szCs w:val="22"/>
              </w:rPr>
              <w:t>Taşınır İşlem Fişi</w:t>
            </w:r>
            <w:r w:rsidRPr="00BC4462">
              <w:rPr>
                <w:sz w:val="22"/>
                <w:szCs w:val="22"/>
              </w:rPr>
              <w:t xml:space="preserve"> düzenlenerek kayıtlardan çıkarılır. Fişin ekine </w:t>
            </w:r>
            <w:r w:rsidRPr="00BC4462">
              <w:rPr>
                <w:color w:val="0000FF"/>
                <w:sz w:val="22"/>
                <w:szCs w:val="22"/>
              </w:rPr>
              <w:t>Kayıttan Düşme Teklif ve Onay Tutanağının</w:t>
            </w:r>
            <w:r w:rsidRPr="00BC4462">
              <w:rPr>
                <w:sz w:val="22"/>
                <w:szCs w:val="22"/>
              </w:rPr>
              <w:t xml:space="preserve"> bir nüshası bağlanır. </w:t>
            </w:r>
          </w:p>
          <w:p w14:paraId="22F9F5CC" w14:textId="77777777" w:rsidR="00152EC9" w:rsidRPr="00BC4462" w:rsidRDefault="00152EC9" w:rsidP="00152EC9">
            <w:pPr>
              <w:pStyle w:val="ListeParagraf"/>
              <w:numPr>
                <w:ilvl w:val="0"/>
                <w:numId w:val="29"/>
              </w:numPr>
              <w:spacing w:after="200" w:line="276" w:lineRule="auto"/>
              <w:ind w:left="360"/>
              <w:contextualSpacing/>
              <w:jc w:val="both"/>
              <w:rPr>
                <w:sz w:val="22"/>
                <w:szCs w:val="22"/>
              </w:rPr>
            </w:pPr>
            <w:r w:rsidRPr="00BC4462">
              <w:rPr>
                <w:sz w:val="22"/>
                <w:szCs w:val="22"/>
              </w:rPr>
              <w:t>Gerek depoyaa mal tesliminde gerekse depodaki herhangi bir taşınırın başka bir depoya nakli, kullanıcılara teslimi, hurdaya ayrılması vb. durumlarda Taşınır Mal Yönetmeliği eki belge ve cetveller kullanılır.</w:t>
            </w:r>
          </w:p>
          <w:p w14:paraId="6A57641B" w14:textId="77777777" w:rsidR="00152EC9" w:rsidRPr="00BC4462" w:rsidRDefault="00152EC9" w:rsidP="00152EC9">
            <w:pPr>
              <w:jc w:val="both"/>
              <w:rPr>
                <w:rFonts w:ascii="Times New Roman" w:hAnsi="Times New Roman" w:cs="Times New Roman"/>
                <w:b/>
              </w:rPr>
            </w:pPr>
            <w:r w:rsidRPr="00BC4462">
              <w:rPr>
                <w:rFonts w:ascii="Times New Roman" w:hAnsi="Times New Roman" w:cs="Times New Roman"/>
                <w:b/>
              </w:rPr>
              <w:t>6. İLGİLİ DOKÜMANLAR</w:t>
            </w:r>
          </w:p>
          <w:p w14:paraId="35A84736" w14:textId="77777777" w:rsidR="00152EC9" w:rsidRPr="00BC4462" w:rsidRDefault="00152EC9" w:rsidP="00152EC9">
            <w:pPr>
              <w:jc w:val="both"/>
              <w:rPr>
                <w:rFonts w:ascii="Times New Roman" w:hAnsi="Times New Roman" w:cs="Times New Roman"/>
                <w:b/>
              </w:rPr>
            </w:pPr>
            <w:r w:rsidRPr="00BC4462">
              <w:rPr>
                <w:rFonts w:ascii="Times New Roman" w:hAnsi="Times New Roman" w:cs="Times New Roman"/>
                <w:b/>
              </w:rPr>
              <w:t>6.1.Dış Kaynaklı Dokümanlar</w:t>
            </w:r>
          </w:p>
          <w:p w14:paraId="13C0AF92" w14:textId="77777777" w:rsidR="00152EC9" w:rsidRPr="00BC4462" w:rsidRDefault="00152EC9" w:rsidP="00152EC9">
            <w:pPr>
              <w:numPr>
                <w:ilvl w:val="0"/>
                <w:numId w:val="27"/>
              </w:numPr>
              <w:spacing w:after="200" w:line="276" w:lineRule="auto"/>
              <w:jc w:val="both"/>
              <w:rPr>
                <w:rFonts w:ascii="Times New Roman" w:hAnsi="Times New Roman" w:cs="Times New Roman"/>
              </w:rPr>
            </w:pPr>
            <w:r w:rsidRPr="00BC4462">
              <w:rPr>
                <w:rFonts w:ascii="Times New Roman" w:hAnsi="Times New Roman" w:cs="Times New Roman"/>
              </w:rPr>
              <w:t>Taşınır Mal Yönetmeliği ve Ekleri</w:t>
            </w:r>
          </w:p>
          <w:p w14:paraId="621C3C6B" w14:textId="77777777" w:rsidR="00152EC9" w:rsidRPr="00BC4462" w:rsidRDefault="00152EC9" w:rsidP="00152EC9">
            <w:pPr>
              <w:jc w:val="both"/>
              <w:rPr>
                <w:rFonts w:ascii="Times New Roman" w:hAnsi="Times New Roman" w:cs="Times New Roman"/>
                <w:b/>
              </w:rPr>
            </w:pPr>
            <w:r w:rsidRPr="00BC4462">
              <w:rPr>
                <w:rFonts w:ascii="Times New Roman" w:hAnsi="Times New Roman" w:cs="Times New Roman"/>
                <w:b/>
              </w:rPr>
              <w:t>6.2. İç Kaynaklı Dokümanlar</w:t>
            </w:r>
          </w:p>
          <w:p w14:paraId="7046C08A" w14:textId="77777777" w:rsidR="00152EC9" w:rsidRPr="00BC4462" w:rsidRDefault="00152EC9" w:rsidP="00152EC9">
            <w:pPr>
              <w:numPr>
                <w:ilvl w:val="0"/>
                <w:numId w:val="28"/>
              </w:numPr>
              <w:spacing w:after="200" w:line="276" w:lineRule="auto"/>
              <w:jc w:val="both"/>
              <w:rPr>
                <w:rFonts w:ascii="Times New Roman" w:hAnsi="Times New Roman" w:cs="Times New Roman"/>
              </w:rPr>
            </w:pPr>
            <w:r w:rsidRPr="00BC4462">
              <w:rPr>
                <w:rFonts w:ascii="Times New Roman" w:hAnsi="Times New Roman" w:cs="Times New Roman"/>
              </w:rPr>
              <w:t>PR-12 Satın alma Prosedürü</w:t>
            </w:r>
          </w:p>
          <w:p w14:paraId="65556F02" w14:textId="77777777" w:rsidR="00152EC9" w:rsidRPr="00BC4462" w:rsidRDefault="00152EC9" w:rsidP="00152EC9">
            <w:pPr>
              <w:numPr>
                <w:ilvl w:val="0"/>
                <w:numId w:val="28"/>
              </w:numPr>
              <w:spacing w:after="200" w:line="276" w:lineRule="auto"/>
              <w:jc w:val="both"/>
              <w:rPr>
                <w:rFonts w:ascii="Times New Roman" w:hAnsi="Times New Roman" w:cs="Times New Roman"/>
              </w:rPr>
            </w:pPr>
            <w:r w:rsidRPr="00BC4462">
              <w:rPr>
                <w:rFonts w:ascii="Times New Roman" w:hAnsi="Times New Roman" w:cs="Times New Roman"/>
              </w:rPr>
              <w:t>Kamu Harcama ve Muhasebe Bilişim Sistemi (KBS)Kayıttan Düşme Teklif ve Onay Tutanağı</w:t>
            </w:r>
          </w:p>
          <w:p w14:paraId="199089C1" w14:textId="77777777" w:rsidR="00152EC9" w:rsidRPr="00BC4462" w:rsidRDefault="00152EC9" w:rsidP="00152EC9">
            <w:pPr>
              <w:numPr>
                <w:ilvl w:val="0"/>
                <w:numId w:val="28"/>
              </w:numPr>
              <w:spacing w:after="200" w:line="276" w:lineRule="auto"/>
              <w:jc w:val="both"/>
              <w:rPr>
                <w:rFonts w:ascii="Times New Roman" w:hAnsi="Times New Roman" w:cs="Times New Roman"/>
              </w:rPr>
            </w:pPr>
            <w:r w:rsidRPr="00BC4462">
              <w:rPr>
                <w:rFonts w:ascii="Times New Roman" w:hAnsi="Times New Roman" w:cs="Times New Roman"/>
              </w:rPr>
              <w:t>Kamu Harcama ve Muhasebe Bilişim Sistemi (KBS)Taşınır İşlem Fişi</w:t>
            </w:r>
          </w:p>
          <w:p w14:paraId="59016569" w14:textId="77777777" w:rsidR="00152EC9" w:rsidRPr="00BC4462" w:rsidRDefault="00152EC9" w:rsidP="00152EC9">
            <w:pPr>
              <w:numPr>
                <w:ilvl w:val="0"/>
                <w:numId w:val="28"/>
              </w:numPr>
              <w:spacing w:after="200" w:line="276" w:lineRule="auto"/>
              <w:jc w:val="both"/>
              <w:rPr>
                <w:rFonts w:ascii="Times New Roman" w:hAnsi="Times New Roman" w:cs="Times New Roman"/>
              </w:rPr>
            </w:pPr>
            <w:r w:rsidRPr="00BC4462">
              <w:rPr>
                <w:rFonts w:ascii="Times New Roman" w:hAnsi="Times New Roman" w:cs="Times New Roman"/>
              </w:rPr>
              <w:t>Kamu Harcama ve Muhasebe Bilişim Sistemi (KBS)Stok Takip Kartı</w:t>
            </w:r>
          </w:p>
          <w:p w14:paraId="259C651B" w14:textId="77777777" w:rsidR="00152EC9" w:rsidRPr="00BC4462" w:rsidRDefault="00152EC9" w:rsidP="00075035">
            <w:pPr>
              <w:spacing w:line="360" w:lineRule="auto"/>
              <w:rPr>
                <w:rFonts w:ascii="Times New Roman" w:hAnsi="Times New Roman" w:cs="Times New Roman"/>
                <w:b/>
              </w:rPr>
            </w:pPr>
          </w:p>
          <w:p w14:paraId="7BDF8F3A" w14:textId="77777777" w:rsidR="008E6AC5" w:rsidRPr="00BC4462" w:rsidRDefault="008E6AC5" w:rsidP="003A6531">
            <w:pPr>
              <w:spacing w:line="360" w:lineRule="auto"/>
              <w:jc w:val="both"/>
              <w:rPr>
                <w:rFonts w:ascii="Times New Roman" w:hAnsi="Times New Roman" w:cs="Times New Roman"/>
                <w:b/>
              </w:rPr>
            </w:pPr>
          </w:p>
        </w:tc>
      </w:tr>
    </w:tbl>
    <w:p w14:paraId="2939701C" w14:textId="77777777" w:rsidR="00C21094" w:rsidRDefault="00C21094"/>
    <w:sectPr w:rsidR="00C21094" w:rsidSect="00D156A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F395D" w14:textId="77777777" w:rsidR="00D156AC" w:rsidRDefault="00D156AC" w:rsidP="00894FCE">
      <w:pPr>
        <w:spacing w:after="0" w:line="240" w:lineRule="auto"/>
      </w:pPr>
      <w:r>
        <w:separator/>
      </w:r>
    </w:p>
  </w:endnote>
  <w:endnote w:type="continuationSeparator" w:id="0">
    <w:p w14:paraId="2569E4EF" w14:textId="77777777" w:rsidR="00D156AC" w:rsidRDefault="00D156AC"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ouvenir Lt BT">
    <w:altName w:val="Georgia"/>
    <w:charset w:val="00"/>
    <w:family w:val="roman"/>
    <w:pitch w:val="variable"/>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3100" w14:textId="77777777" w:rsidR="009F7714" w:rsidRDefault="009F77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pPr w:leftFromText="141" w:rightFromText="141" w:vertAnchor="text" w:horzAnchor="margin" w:tblpXSpec="center" w:tblpY="353"/>
      <w:tblW w:w="11194" w:type="dxa"/>
      <w:tblLook w:val="04A0" w:firstRow="1" w:lastRow="0" w:firstColumn="1" w:lastColumn="0" w:noHBand="0" w:noVBand="1"/>
    </w:tblPr>
    <w:tblGrid>
      <w:gridCol w:w="1838"/>
      <w:gridCol w:w="7118"/>
      <w:gridCol w:w="2238"/>
    </w:tblGrid>
    <w:tr w:rsidR="00BC4462" w:rsidRPr="00C26BFB" w14:paraId="6A18C17A" w14:textId="77777777" w:rsidTr="00B8414F">
      <w:trPr>
        <w:trHeight w:val="415"/>
      </w:trPr>
      <w:tc>
        <w:tcPr>
          <w:tcW w:w="1838" w:type="dxa"/>
          <w:tcBorders>
            <w:top w:val="single" w:sz="4" w:space="0" w:color="auto"/>
            <w:left w:val="single" w:sz="4" w:space="0" w:color="auto"/>
            <w:bottom w:val="single" w:sz="4" w:space="0" w:color="auto"/>
            <w:right w:val="single" w:sz="4" w:space="0" w:color="auto"/>
          </w:tcBorders>
          <w:hideMark/>
        </w:tcPr>
        <w:p w14:paraId="37FC2AF4" w14:textId="77777777" w:rsidR="00BC4462" w:rsidRPr="00C26BFB" w:rsidRDefault="00BC4462" w:rsidP="00BC4462">
          <w:pPr>
            <w:tabs>
              <w:tab w:val="left" w:pos="4414"/>
            </w:tabs>
            <w:rPr>
              <w:rFonts w:ascii="Times New Roman" w:hAnsi="Times New Roman" w:cs="Times New Roman"/>
              <w:b/>
              <w:bCs/>
              <w:szCs w:val="20"/>
            </w:rPr>
          </w:pPr>
          <w:r w:rsidRPr="00C26BFB">
            <w:rPr>
              <w:rFonts w:ascii="Times New Roman" w:hAnsi="Times New Roman" w:cs="Times New Roman"/>
              <w:b/>
              <w:bCs/>
              <w:szCs w:val="20"/>
            </w:rPr>
            <w:t>Kontrol Eden</w:t>
          </w:r>
        </w:p>
      </w:tc>
      <w:tc>
        <w:tcPr>
          <w:tcW w:w="7118" w:type="dxa"/>
          <w:tcBorders>
            <w:top w:val="single" w:sz="4" w:space="0" w:color="auto"/>
            <w:left w:val="single" w:sz="4" w:space="0" w:color="auto"/>
            <w:bottom w:val="single" w:sz="4" w:space="0" w:color="auto"/>
            <w:right w:val="single" w:sz="4" w:space="0" w:color="auto"/>
          </w:tcBorders>
        </w:tcPr>
        <w:p w14:paraId="6008A908" w14:textId="77777777" w:rsidR="00BC4462" w:rsidRPr="00C26BFB" w:rsidRDefault="00BC4462" w:rsidP="00BC4462">
          <w:pPr>
            <w:tabs>
              <w:tab w:val="left" w:pos="4414"/>
            </w:tabs>
            <w:jc w:val="center"/>
            <w:rPr>
              <w:rFonts w:ascii="Times New Roman" w:hAnsi="Times New Roman" w:cs="Times New Roman"/>
              <w:szCs w:val="20"/>
            </w:rPr>
          </w:pPr>
          <w:r w:rsidRPr="00C26BFB">
            <w:rPr>
              <w:rFonts w:ascii="Times New Roman" w:hAnsi="Times New Roman" w:cs="Times New Roman"/>
              <w:szCs w:val="20"/>
            </w:rPr>
            <w:t>Kalite Koordinatörü</w:t>
          </w:r>
        </w:p>
      </w:tc>
      <w:tc>
        <w:tcPr>
          <w:tcW w:w="2238" w:type="dxa"/>
          <w:vMerge w:val="restart"/>
          <w:tcBorders>
            <w:top w:val="single" w:sz="4" w:space="0" w:color="auto"/>
            <w:left w:val="single" w:sz="4" w:space="0" w:color="auto"/>
            <w:bottom w:val="single" w:sz="4" w:space="0" w:color="auto"/>
            <w:right w:val="single" w:sz="4" w:space="0" w:color="auto"/>
          </w:tcBorders>
          <w:hideMark/>
        </w:tcPr>
        <w:p w14:paraId="4749824E" w14:textId="77777777" w:rsidR="00BC4462" w:rsidRPr="00C26BFB" w:rsidRDefault="00BC4462" w:rsidP="00BC4462">
          <w:pPr>
            <w:tabs>
              <w:tab w:val="left" w:pos="4414"/>
            </w:tabs>
            <w:rPr>
              <w:rFonts w:ascii="Times New Roman" w:hAnsi="Times New Roman" w:cs="Times New Roman"/>
              <w:b/>
              <w:szCs w:val="20"/>
            </w:rPr>
          </w:pPr>
          <w:r w:rsidRPr="00C26BFB">
            <w:rPr>
              <w:rFonts w:ascii="Times New Roman" w:hAnsi="Times New Roman" w:cs="Times New Roman"/>
              <w:noProof/>
            </w:rPr>
            <w:drawing>
              <wp:inline distT="0" distB="0" distL="0" distR="0" wp14:anchorId="5B8F3608" wp14:editId="2018BB15">
                <wp:extent cx="1162050" cy="438150"/>
                <wp:effectExtent l="0" t="0" r="0" b="0"/>
                <wp:docPr id="1" name="Resim 1"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küçük resim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438150"/>
                        </a:xfrm>
                        <a:prstGeom prst="rect">
                          <a:avLst/>
                        </a:prstGeom>
                        <a:noFill/>
                        <a:ln>
                          <a:noFill/>
                        </a:ln>
                      </pic:spPr>
                    </pic:pic>
                  </a:graphicData>
                </a:graphic>
              </wp:inline>
            </w:drawing>
          </w:r>
        </w:p>
      </w:tc>
    </w:tr>
    <w:tr w:rsidR="00BC4462" w:rsidRPr="00C26BFB" w14:paraId="1AFC4928" w14:textId="77777777" w:rsidTr="00B8414F">
      <w:trPr>
        <w:trHeight w:val="420"/>
      </w:trPr>
      <w:tc>
        <w:tcPr>
          <w:tcW w:w="1838" w:type="dxa"/>
          <w:tcBorders>
            <w:top w:val="single" w:sz="4" w:space="0" w:color="auto"/>
            <w:left w:val="single" w:sz="4" w:space="0" w:color="auto"/>
            <w:bottom w:val="single" w:sz="4" w:space="0" w:color="auto"/>
            <w:right w:val="single" w:sz="4" w:space="0" w:color="auto"/>
          </w:tcBorders>
          <w:hideMark/>
        </w:tcPr>
        <w:p w14:paraId="52C348AD" w14:textId="77777777" w:rsidR="00BC4462" w:rsidRPr="00C26BFB" w:rsidRDefault="00BC4462" w:rsidP="00BC4462">
          <w:pPr>
            <w:tabs>
              <w:tab w:val="left" w:pos="4414"/>
            </w:tabs>
            <w:rPr>
              <w:rFonts w:ascii="Times New Roman" w:hAnsi="Times New Roman" w:cs="Times New Roman"/>
              <w:b/>
              <w:bCs/>
              <w:szCs w:val="20"/>
            </w:rPr>
          </w:pPr>
          <w:r w:rsidRPr="00C26BFB">
            <w:rPr>
              <w:rFonts w:ascii="Times New Roman" w:hAnsi="Times New Roman" w:cs="Times New Roman"/>
              <w:b/>
              <w:bCs/>
              <w:szCs w:val="20"/>
            </w:rPr>
            <w:t>Onaylayan</w:t>
          </w:r>
        </w:p>
      </w:tc>
      <w:tc>
        <w:tcPr>
          <w:tcW w:w="7118" w:type="dxa"/>
          <w:tcBorders>
            <w:top w:val="single" w:sz="4" w:space="0" w:color="auto"/>
            <w:left w:val="single" w:sz="4" w:space="0" w:color="auto"/>
            <w:bottom w:val="single" w:sz="4" w:space="0" w:color="auto"/>
            <w:right w:val="single" w:sz="4" w:space="0" w:color="auto"/>
          </w:tcBorders>
          <w:hideMark/>
        </w:tcPr>
        <w:p w14:paraId="28C7E925" w14:textId="77777777" w:rsidR="00BC4462" w:rsidRPr="00C26BFB" w:rsidRDefault="00BC4462" w:rsidP="00BC4462">
          <w:pPr>
            <w:tabs>
              <w:tab w:val="left" w:pos="4414"/>
            </w:tabs>
            <w:jc w:val="center"/>
            <w:rPr>
              <w:rFonts w:ascii="Times New Roman" w:hAnsi="Times New Roman" w:cs="Times New Roman"/>
              <w:szCs w:val="20"/>
            </w:rPr>
          </w:pPr>
          <w:r w:rsidRPr="00C26BFB">
            <w:rPr>
              <w:rFonts w:ascii="Times New Roman" w:hAnsi="Times New Roman" w:cs="Times New Roman"/>
              <w:szCs w:val="20"/>
            </w:rPr>
            <w:t>Rektör / Rektör Yardımcısı</w:t>
          </w:r>
        </w:p>
      </w:tc>
      <w:tc>
        <w:tcPr>
          <w:tcW w:w="2238" w:type="dxa"/>
          <w:vMerge/>
          <w:tcBorders>
            <w:top w:val="single" w:sz="4" w:space="0" w:color="auto"/>
            <w:left w:val="single" w:sz="4" w:space="0" w:color="auto"/>
            <w:bottom w:val="single" w:sz="4" w:space="0" w:color="auto"/>
            <w:right w:val="single" w:sz="4" w:space="0" w:color="auto"/>
          </w:tcBorders>
          <w:vAlign w:val="center"/>
          <w:hideMark/>
        </w:tcPr>
        <w:p w14:paraId="1847F12F" w14:textId="77777777" w:rsidR="00BC4462" w:rsidRPr="00C26BFB" w:rsidRDefault="00BC4462" w:rsidP="00BC4462">
          <w:pPr>
            <w:rPr>
              <w:rFonts w:ascii="Times New Roman" w:hAnsi="Times New Roman" w:cs="Times New Roman"/>
              <w:b/>
              <w:szCs w:val="20"/>
            </w:rPr>
          </w:pPr>
        </w:p>
      </w:tc>
    </w:tr>
  </w:tbl>
  <w:p w14:paraId="4667E224" w14:textId="77777777" w:rsidR="000F0966" w:rsidRPr="000F0966" w:rsidRDefault="000F0966" w:rsidP="000F096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ACE0" w14:textId="77777777" w:rsidR="009F7714" w:rsidRDefault="009F77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76CD" w14:textId="77777777" w:rsidR="00D156AC" w:rsidRDefault="00D156AC" w:rsidP="00894FCE">
      <w:pPr>
        <w:spacing w:after="0" w:line="240" w:lineRule="auto"/>
      </w:pPr>
      <w:r>
        <w:separator/>
      </w:r>
    </w:p>
  </w:footnote>
  <w:footnote w:type="continuationSeparator" w:id="0">
    <w:p w14:paraId="00C1228C" w14:textId="77777777" w:rsidR="00D156AC" w:rsidRDefault="00D156AC"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6965" w14:textId="77777777" w:rsidR="009F7714" w:rsidRDefault="009F771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946" w:type="dxa"/>
      <w:tblInd w:w="-743" w:type="dxa"/>
      <w:tblLook w:val="04A0" w:firstRow="1" w:lastRow="0" w:firstColumn="1" w:lastColumn="0" w:noHBand="0" w:noVBand="1"/>
    </w:tblPr>
    <w:tblGrid>
      <w:gridCol w:w="1956"/>
      <w:gridCol w:w="5321"/>
      <w:gridCol w:w="236"/>
      <w:gridCol w:w="1607"/>
      <w:gridCol w:w="1826"/>
    </w:tblGrid>
    <w:tr w:rsidR="000F0966" w14:paraId="5D75BDB9" w14:textId="77777777" w:rsidTr="005C3F9E">
      <w:trPr>
        <w:trHeight w:val="170"/>
      </w:trPr>
      <w:tc>
        <w:tcPr>
          <w:tcW w:w="1805" w:type="dxa"/>
          <w:vMerge w:val="restart"/>
          <w:tcBorders>
            <w:top w:val="single" w:sz="4" w:space="0" w:color="auto"/>
            <w:left w:val="single" w:sz="4" w:space="0" w:color="auto"/>
            <w:right w:val="nil"/>
          </w:tcBorders>
        </w:tcPr>
        <w:p w14:paraId="23282569" w14:textId="2D5B9A89" w:rsidR="000F0966" w:rsidRDefault="009F7714" w:rsidP="000F0966">
          <w:pPr>
            <w:pStyle w:val="stBilgi"/>
          </w:pPr>
          <w:r>
            <w:rPr>
              <w:noProof/>
            </w:rPr>
            <w:drawing>
              <wp:inline distT="0" distB="0" distL="0" distR="0" wp14:anchorId="2E444EBD" wp14:editId="0D8D81C1">
                <wp:extent cx="1105200" cy="11052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200" cy="1105200"/>
                        </a:xfrm>
                        <a:prstGeom prst="rect">
                          <a:avLst/>
                        </a:prstGeom>
                        <a:noFill/>
                        <a:ln>
                          <a:noFill/>
                        </a:ln>
                      </pic:spPr>
                    </pic:pic>
                  </a:graphicData>
                </a:graphic>
              </wp:inline>
            </w:drawing>
          </w:r>
        </w:p>
      </w:tc>
      <w:tc>
        <w:tcPr>
          <w:tcW w:w="5424" w:type="dxa"/>
          <w:vMerge w:val="restart"/>
          <w:tcBorders>
            <w:top w:val="single" w:sz="4" w:space="0" w:color="auto"/>
            <w:left w:val="nil"/>
            <w:bottom w:val="nil"/>
            <w:right w:val="nil"/>
          </w:tcBorders>
        </w:tcPr>
        <w:p w14:paraId="562FF8E5" w14:textId="77777777" w:rsidR="000F0966" w:rsidRDefault="000F0966" w:rsidP="000F0966">
          <w:pPr>
            <w:jc w:val="center"/>
            <w:rPr>
              <w:rFonts w:ascii="Times New Roman" w:hAnsi="Times New Roman" w:cs="Times New Roman"/>
              <w:b/>
              <w:sz w:val="28"/>
            </w:rPr>
          </w:pPr>
        </w:p>
        <w:p w14:paraId="096C5B89" w14:textId="77777777" w:rsidR="000F0966" w:rsidRPr="00C473E9" w:rsidRDefault="000F0966" w:rsidP="000F0966">
          <w:pPr>
            <w:jc w:val="center"/>
            <w:rPr>
              <w:rFonts w:ascii="Times New Roman" w:hAnsi="Times New Roman" w:cs="Times New Roman"/>
              <w:b/>
              <w:sz w:val="28"/>
            </w:rPr>
          </w:pPr>
          <w:r w:rsidRPr="00C473E9">
            <w:rPr>
              <w:rFonts w:ascii="Times New Roman" w:hAnsi="Times New Roman" w:cs="Times New Roman"/>
              <w:b/>
              <w:sz w:val="28"/>
            </w:rPr>
            <w:t>T.C.</w:t>
          </w:r>
        </w:p>
        <w:p w14:paraId="1D00514A" w14:textId="77777777" w:rsidR="000F0966" w:rsidRPr="00C473E9" w:rsidRDefault="000F0966" w:rsidP="000F0966">
          <w:pPr>
            <w:tabs>
              <w:tab w:val="left" w:pos="4809"/>
            </w:tabs>
            <w:jc w:val="center"/>
            <w:rPr>
              <w:rFonts w:ascii="Times New Roman" w:hAnsi="Times New Roman" w:cs="Times New Roman"/>
              <w:b/>
              <w:sz w:val="28"/>
            </w:rPr>
          </w:pPr>
          <w:r w:rsidRPr="00C473E9">
            <w:rPr>
              <w:rFonts w:ascii="Times New Roman" w:hAnsi="Times New Roman" w:cs="Times New Roman"/>
              <w:b/>
              <w:sz w:val="28"/>
            </w:rPr>
            <w:t xml:space="preserve">HARRAN </w:t>
          </w:r>
          <w:r>
            <w:rPr>
              <w:rFonts w:ascii="Times New Roman" w:hAnsi="Times New Roman" w:cs="Times New Roman"/>
              <w:b/>
              <w:sz w:val="28"/>
            </w:rPr>
            <w:t>ÜNİVERSİ</w:t>
          </w:r>
          <w:r w:rsidRPr="00C473E9">
            <w:rPr>
              <w:rFonts w:ascii="Times New Roman" w:hAnsi="Times New Roman" w:cs="Times New Roman"/>
              <w:b/>
              <w:sz w:val="28"/>
            </w:rPr>
            <w:t>TESİ</w:t>
          </w:r>
          <w:r>
            <w:rPr>
              <w:rFonts w:ascii="Times New Roman" w:hAnsi="Times New Roman" w:cs="Times New Roman"/>
              <w:b/>
              <w:sz w:val="28"/>
            </w:rPr>
            <w:br/>
            <w:t>DEPO TALİMATI</w:t>
          </w:r>
        </w:p>
        <w:p w14:paraId="303B5867" w14:textId="77777777" w:rsidR="000F0966" w:rsidRDefault="000F0966" w:rsidP="000F0966">
          <w:pPr>
            <w:pStyle w:val="stBilgi"/>
          </w:pPr>
        </w:p>
      </w:tc>
      <w:tc>
        <w:tcPr>
          <w:tcW w:w="236" w:type="dxa"/>
          <w:vMerge w:val="restart"/>
          <w:tcBorders>
            <w:top w:val="single" w:sz="4" w:space="0" w:color="auto"/>
            <w:left w:val="nil"/>
            <w:bottom w:val="nil"/>
            <w:right w:val="dotted" w:sz="4" w:space="0" w:color="auto"/>
          </w:tcBorders>
        </w:tcPr>
        <w:p w14:paraId="6FBB3D0F" w14:textId="77777777" w:rsidR="000F0966" w:rsidRDefault="000F0966" w:rsidP="000F0966">
          <w:pPr>
            <w:jc w:val="center"/>
          </w:pPr>
        </w:p>
        <w:p w14:paraId="7D2259E3" w14:textId="77777777" w:rsidR="000F0966" w:rsidRDefault="000F0966" w:rsidP="000F0966">
          <w:pPr>
            <w:jc w:val="center"/>
          </w:pPr>
        </w:p>
        <w:p w14:paraId="29DF59F8" w14:textId="77777777" w:rsidR="000F0966" w:rsidRDefault="000F0966" w:rsidP="000F0966">
          <w:pPr>
            <w:jc w:val="center"/>
          </w:pPr>
        </w:p>
        <w:p w14:paraId="788B4659" w14:textId="77777777" w:rsidR="000F0966" w:rsidRDefault="000F0966" w:rsidP="000F0966">
          <w:pPr>
            <w:pStyle w:val="stBilgi"/>
            <w:jc w:val="center"/>
          </w:pPr>
        </w:p>
      </w:tc>
      <w:tc>
        <w:tcPr>
          <w:tcW w:w="1628" w:type="dxa"/>
          <w:tcBorders>
            <w:top w:val="single" w:sz="4" w:space="0" w:color="auto"/>
            <w:left w:val="dotted" w:sz="4" w:space="0" w:color="auto"/>
            <w:bottom w:val="dotted" w:sz="4" w:space="0" w:color="auto"/>
            <w:right w:val="dotted" w:sz="4" w:space="0" w:color="auto"/>
          </w:tcBorders>
          <w:vAlign w:val="center"/>
        </w:tcPr>
        <w:p w14:paraId="1216BA92" w14:textId="77777777" w:rsidR="000F0966" w:rsidRPr="00016C85" w:rsidRDefault="000F0966" w:rsidP="000F0966">
          <w:pPr>
            <w:contextualSpacing/>
            <w:rPr>
              <w:rFonts w:ascii="Times New Roman" w:hAnsi="Times New Roman" w:cs="Times New Roman"/>
              <w:b/>
              <w:sz w:val="18"/>
              <w:szCs w:val="18"/>
            </w:rPr>
          </w:pPr>
          <w:r w:rsidRPr="00016C85">
            <w:rPr>
              <w:rFonts w:ascii="Times New Roman" w:hAnsi="Times New Roman" w:cs="Times New Roman"/>
              <w:b/>
              <w:sz w:val="18"/>
              <w:szCs w:val="18"/>
            </w:rPr>
            <w:t>Doküman No</w:t>
          </w:r>
        </w:p>
      </w:tc>
      <w:tc>
        <w:tcPr>
          <w:tcW w:w="1853" w:type="dxa"/>
          <w:tcBorders>
            <w:top w:val="single" w:sz="4" w:space="0" w:color="auto"/>
            <w:left w:val="dotted" w:sz="4" w:space="0" w:color="auto"/>
            <w:bottom w:val="dotted" w:sz="4" w:space="0" w:color="auto"/>
            <w:right w:val="single" w:sz="4" w:space="0" w:color="auto"/>
          </w:tcBorders>
          <w:vAlign w:val="center"/>
        </w:tcPr>
        <w:p w14:paraId="0D003ECC" w14:textId="789AA298" w:rsidR="000F0966" w:rsidRPr="00016C85" w:rsidRDefault="000F0966" w:rsidP="000F0966">
          <w:pPr>
            <w:contextualSpacing/>
            <w:rPr>
              <w:rFonts w:ascii="Times New Roman" w:hAnsi="Times New Roman" w:cs="Times New Roman"/>
              <w:b/>
              <w:sz w:val="18"/>
              <w:szCs w:val="18"/>
            </w:rPr>
          </w:pPr>
          <w:r>
            <w:rPr>
              <w:rFonts w:ascii="Times New Roman" w:hAnsi="Times New Roman" w:cs="Times New Roman"/>
              <w:b/>
              <w:sz w:val="18"/>
              <w:szCs w:val="18"/>
            </w:rPr>
            <w:t>TLM-0</w:t>
          </w:r>
          <w:r w:rsidR="00BC4462">
            <w:rPr>
              <w:rFonts w:ascii="Times New Roman" w:hAnsi="Times New Roman" w:cs="Times New Roman"/>
              <w:b/>
              <w:sz w:val="18"/>
              <w:szCs w:val="18"/>
            </w:rPr>
            <w:t>011</w:t>
          </w:r>
        </w:p>
      </w:tc>
    </w:tr>
    <w:tr w:rsidR="000F0966" w14:paraId="5CACED51" w14:textId="77777777" w:rsidTr="005C3F9E">
      <w:trPr>
        <w:trHeight w:val="314"/>
      </w:trPr>
      <w:tc>
        <w:tcPr>
          <w:tcW w:w="1805" w:type="dxa"/>
          <w:vMerge/>
          <w:tcBorders>
            <w:left w:val="single" w:sz="4" w:space="0" w:color="auto"/>
            <w:right w:val="nil"/>
          </w:tcBorders>
        </w:tcPr>
        <w:p w14:paraId="08FC4318" w14:textId="77777777" w:rsidR="000F0966" w:rsidRDefault="000F0966" w:rsidP="000F0966">
          <w:pPr>
            <w:pStyle w:val="stBilgi"/>
            <w:rPr>
              <w:noProof/>
              <w:lang w:eastAsia="tr-TR"/>
            </w:rPr>
          </w:pPr>
        </w:p>
      </w:tc>
      <w:tc>
        <w:tcPr>
          <w:tcW w:w="5424" w:type="dxa"/>
          <w:vMerge/>
          <w:tcBorders>
            <w:top w:val="nil"/>
            <w:left w:val="nil"/>
            <w:bottom w:val="nil"/>
            <w:right w:val="nil"/>
          </w:tcBorders>
        </w:tcPr>
        <w:p w14:paraId="50A69DE0" w14:textId="77777777" w:rsidR="000F0966" w:rsidRDefault="000F0966" w:rsidP="000F0966">
          <w:pPr>
            <w:pStyle w:val="stBilgi"/>
          </w:pPr>
        </w:p>
      </w:tc>
      <w:tc>
        <w:tcPr>
          <w:tcW w:w="236" w:type="dxa"/>
          <w:vMerge/>
          <w:tcBorders>
            <w:left w:val="nil"/>
            <w:bottom w:val="nil"/>
            <w:right w:val="dotted" w:sz="4" w:space="0" w:color="auto"/>
          </w:tcBorders>
        </w:tcPr>
        <w:p w14:paraId="23037005" w14:textId="77777777" w:rsidR="000F0966" w:rsidRDefault="000F0966" w:rsidP="000F0966">
          <w:pPr>
            <w:pStyle w:val="stBilgi"/>
          </w:pPr>
        </w:p>
      </w:tc>
      <w:tc>
        <w:tcPr>
          <w:tcW w:w="1628" w:type="dxa"/>
          <w:tcBorders>
            <w:top w:val="dotted" w:sz="4" w:space="0" w:color="auto"/>
            <w:left w:val="dotted" w:sz="4" w:space="0" w:color="auto"/>
            <w:bottom w:val="dotted" w:sz="4" w:space="0" w:color="auto"/>
            <w:right w:val="dotted" w:sz="4" w:space="0" w:color="auto"/>
          </w:tcBorders>
          <w:vAlign w:val="center"/>
        </w:tcPr>
        <w:p w14:paraId="55ED3AE5" w14:textId="77777777" w:rsidR="000F0966" w:rsidRPr="00016C85" w:rsidRDefault="000F0966" w:rsidP="000F0966">
          <w:pPr>
            <w:contextualSpacing/>
            <w:rPr>
              <w:rFonts w:ascii="Times New Roman" w:hAnsi="Times New Roman" w:cs="Times New Roman"/>
              <w:b/>
              <w:sz w:val="18"/>
              <w:szCs w:val="18"/>
            </w:rPr>
          </w:pPr>
          <w:r w:rsidRPr="00016C85">
            <w:rPr>
              <w:rFonts w:ascii="Times New Roman" w:hAnsi="Times New Roman" w:cs="Times New Roman"/>
              <w:b/>
              <w:sz w:val="18"/>
              <w:szCs w:val="18"/>
            </w:rPr>
            <w:t>Yayın Tarihi</w:t>
          </w:r>
        </w:p>
      </w:tc>
      <w:tc>
        <w:tcPr>
          <w:tcW w:w="1853" w:type="dxa"/>
          <w:tcBorders>
            <w:top w:val="dotted" w:sz="4" w:space="0" w:color="auto"/>
            <w:left w:val="dotted" w:sz="4" w:space="0" w:color="auto"/>
            <w:bottom w:val="dotted" w:sz="4" w:space="0" w:color="auto"/>
            <w:right w:val="single" w:sz="4" w:space="0" w:color="auto"/>
          </w:tcBorders>
          <w:vAlign w:val="center"/>
        </w:tcPr>
        <w:p w14:paraId="08F93D2F" w14:textId="77777777" w:rsidR="000F0966" w:rsidRPr="00016C85" w:rsidRDefault="000F0966" w:rsidP="000F0966">
          <w:pPr>
            <w:contextualSpacing/>
            <w:rPr>
              <w:rFonts w:ascii="Times New Roman" w:hAnsi="Times New Roman" w:cs="Times New Roman"/>
              <w:b/>
              <w:sz w:val="18"/>
              <w:szCs w:val="18"/>
            </w:rPr>
          </w:pPr>
          <w:r>
            <w:rPr>
              <w:rFonts w:ascii="Times New Roman" w:hAnsi="Times New Roman" w:cs="Times New Roman"/>
              <w:b/>
              <w:sz w:val="18"/>
              <w:szCs w:val="18"/>
            </w:rPr>
            <w:t>25.03.2021</w:t>
          </w:r>
        </w:p>
      </w:tc>
    </w:tr>
    <w:tr w:rsidR="000F0966" w14:paraId="57360B34" w14:textId="77777777" w:rsidTr="005C3F9E">
      <w:trPr>
        <w:trHeight w:val="314"/>
      </w:trPr>
      <w:tc>
        <w:tcPr>
          <w:tcW w:w="1805" w:type="dxa"/>
          <w:vMerge/>
          <w:tcBorders>
            <w:left w:val="single" w:sz="4" w:space="0" w:color="auto"/>
            <w:right w:val="nil"/>
          </w:tcBorders>
        </w:tcPr>
        <w:p w14:paraId="711933EF" w14:textId="77777777" w:rsidR="000F0966" w:rsidRDefault="000F0966" w:rsidP="000F0966">
          <w:pPr>
            <w:pStyle w:val="stBilgi"/>
            <w:rPr>
              <w:noProof/>
              <w:lang w:eastAsia="tr-TR"/>
            </w:rPr>
          </w:pPr>
        </w:p>
      </w:tc>
      <w:tc>
        <w:tcPr>
          <w:tcW w:w="5424" w:type="dxa"/>
          <w:vMerge/>
          <w:tcBorders>
            <w:top w:val="nil"/>
            <w:left w:val="nil"/>
            <w:bottom w:val="nil"/>
            <w:right w:val="nil"/>
          </w:tcBorders>
        </w:tcPr>
        <w:p w14:paraId="6EEA4D29" w14:textId="77777777" w:rsidR="000F0966" w:rsidRDefault="000F0966" w:rsidP="000F0966">
          <w:pPr>
            <w:pStyle w:val="stBilgi"/>
          </w:pPr>
        </w:p>
      </w:tc>
      <w:tc>
        <w:tcPr>
          <w:tcW w:w="236" w:type="dxa"/>
          <w:vMerge/>
          <w:tcBorders>
            <w:left w:val="nil"/>
            <w:bottom w:val="nil"/>
            <w:right w:val="dotted" w:sz="4" w:space="0" w:color="auto"/>
          </w:tcBorders>
        </w:tcPr>
        <w:p w14:paraId="2D9F091E" w14:textId="77777777" w:rsidR="000F0966" w:rsidRDefault="000F0966" w:rsidP="000F0966">
          <w:pPr>
            <w:pStyle w:val="stBilgi"/>
          </w:pPr>
        </w:p>
      </w:tc>
      <w:tc>
        <w:tcPr>
          <w:tcW w:w="1628" w:type="dxa"/>
          <w:tcBorders>
            <w:top w:val="dotted" w:sz="4" w:space="0" w:color="auto"/>
            <w:left w:val="dotted" w:sz="4" w:space="0" w:color="auto"/>
            <w:bottom w:val="dotted" w:sz="4" w:space="0" w:color="auto"/>
            <w:right w:val="dotted" w:sz="4" w:space="0" w:color="auto"/>
          </w:tcBorders>
          <w:vAlign w:val="center"/>
        </w:tcPr>
        <w:p w14:paraId="492D9B0A" w14:textId="77777777" w:rsidR="000F0966" w:rsidRPr="00016C85" w:rsidRDefault="000F0966" w:rsidP="000F0966">
          <w:pPr>
            <w:pStyle w:val="stBilgi"/>
            <w:contextualSpacing/>
            <w:rPr>
              <w:rFonts w:ascii="Times New Roman" w:hAnsi="Times New Roman" w:cs="Times New Roman"/>
              <w:b/>
              <w:sz w:val="18"/>
              <w:szCs w:val="18"/>
            </w:rPr>
          </w:pPr>
          <w:r w:rsidRPr="00016C85">
            <w:rPr>
              <w:rFonts w:ascii="Times New Roman" w:hAnsi="Times New Roman" w:cs="Times New Roman"/>
              <w:b/>
              <w:sz w:val="18"/>
              <w:szCs w:val="18"/>
            </w:rPr>
            <w:t>Revizyon No</w:t>
          </w:r>
        </w:p>
      </w:tc>
      <w:tc>
        <w:tcPr>
          <w:tcW w:w="1853" w:type="dxa"/>
          <w:tcBorders>
            <w:top w:val="dotted" w:sz="4" w:space="0" w:color="auto"/>
            <w:left w:val="dotted" w:sz="4" w:space="0" w:color="auto"/>
            <w:bottom w:val="dotted" w:sz="4" w:space="0" w:color="auto"/>
            <w:right w:val="single" w:sz="4" w:space="0" w:color="auto"/>
          </w:tcBorders>
          <w:vAlign w:val="center"/>
        </w:tcPr>
        <w:p w14:paraId="75A1B1FC" w14:textId="0FC58A07" w:rsidR="000F0966" w:rsidRPr="00016C85" w:rsidRDefault="009F7714" w:rsidP="000F0966">
          <w:pPr>
            <w:pStyle w:val="stBilgi"/>
            <w:contextualSpacing/>
            <w:rPr>
              <w:rFonts w:ascii="Times New Roman" w:hAnsi="Times New Roman" w:cs="Times New Roman"/>
              <w:b/>
              <w:sz w:val="18"/>
              <w:szCs w:val="18"/>
            </w:rPr>
          </w:pPr>
          <w:r>
            <w:rPr>
              <w:rFonts w:ascii="Times New Roman" w:hAnsi="Times New Roman" w:cs="Times New Roman"/>
              <w:b/>
              <w:sz w:val="18"/>
              <w:szCs w:val="18"/>
            </w:rPr>
            <w:t>3</w:t>
          </w:r>
        </w:p>
      </w:tc>
    </w:tr>
    <w:tr w:rsidR="000F0966" w14:paraId="05DD627A" w14:textId="77777777" w:rsidTr="005C3F9E">
      <w:trPr>
        <w:trHeight w:val="314"/>
      </w:trPr>
      <w:tc>
        <w:tcPr>
          <w:tcW w:w="1805" w:type="dxa"/>
          <w:vMerge/>
          <w:tcBorders>
            <w:left w:val="single" w:sz="4" w:space="0" w:color="auto"/>
            <w:right w:val="nil"/>
          </w:tcBorders>
        </w:tcPr>
        <w:p w14:paraId="4F58B111" w14:textId="77777777" w:rsidR="000F0966" w:rsidRDefault="000F0966" w:rsidP="000F0966">
          <w:pPr>
            <w:pStyle w:val="stBilgi"/>
            <w:rPr>
              <w:noProof/>
              <w:lang w:eastAsia="tr-TR"/>
            </w:rPr>
          </w:pPr>
        </w:p>
      </w:tc>
      <w:tc>
        <w:tcPr>
          <w:tcW w:w="5424" w:type="dxa"/>
          <w:vMerge/>
          <w:tcBorders>
            <w:top w:val="nil"/>
            <w:left w:val="nil"/>
            <w:bottom w:val="nil"/>
            <w:right w:val="nil"/>
          </w:tcBorders>
        </w:tcPr>
        <w:p w14:paraId="188DB797" w14:textId="77777777" w:rsidR="000F0966" w:rsidRDefault="000F0966" w:rsidP="000F0966">
          <w:pPr>
            <w:pStyle w:val="stBilgi"/>
          </w:pPr>
        </w:p>
      </w:tc>
      <w:tc>
        <w:tcPr>
          <w:tcW w:w="236" w:type="dxa"/>
          <w:vMerge/>
          <w:tcBorders>
            <w:left w:val="nil"/>
            <w:bottom w:val="nil"/>
            <w:right w:val="dotted" w:sz="4" w:space="0" w:color="auto"/>
          </w:tcBorders>
        </w:tcPr>
        <w:p w14:paraId="0FC8CA3D" w14:textId="77777777" w:rsidR="000F0966" w:rsidRDefault="000F0966" w:rsidP="000F0966">
          <w:pPr>
            <w:pStyle w:val="stBilgi"/>
          </w:pPr>
        </w:p>
      </w:tc>
      <w:tc>
        <w:tcPr>
          <w:tcW w:w="1628" w:type="dxa"/>
          <w:tcBorders>
            <w:top w:val="dotted" w:sz="4" w:space="0" w:color="auto"/>
            <w:left w:val="dotted" w:sz="4" w:space="0" w:color="auto"/>
            <w:bottom w:val="dotted" w:sz="4" w:space="0" w:color="auto"/>
            <w:right w:val="dotted" w:sz="4" w:space="0" w:color="auto"/>
          </w:tcBorders>
          <w:vAlign w:val="center"/>
        </w:tcPr>
        <w:p w14:paraId="25034A59" w14:textId="77777777" w:rsidR="000F0966" w:rsidRPr="00016C85" w:rsidRDefault="000F0966" w:rsidP="000F0966">
          <w:pPr>
            <w:pStyle w:val="stBilgi"/>
            <w:contextualSpacing/>
            <w:rPr>
              <w:rFonts w:ascii="Times New Roman" w:hAnsi="Times New Roman" w:cs="Times New Roman"/>
              <w:b/>
              <w:sz w:val="18"/>
              <w:szCs w:val="18"/>
            </w:rPr>
          </w:pPr>
          <w:r w:rsidRPr="00016C85">
            <w:rPr>
              <w:rFonts w:ascii="Times New Roman" w:hAnsi="Times New Roman" w:cs="Times New Roman"/>
              <w:b/>
              <w:sz w:val="18"/>
              <w:szCs w:val="18"/>
            </w:rPr>
            <w:t>Revizyon Tarihi</w:t>
          </w:r>
        </w:p>
      </w:tc>
      <w:tc>
        <w:tcPr>
          <w:tcW w:w="1853" w:type="dxa"/>
          <w:tcBorders>
            <w:top w:val="dotted" w:sz="4" w:space="0" w:color="auto"/>
            <w:left w:val="dotted" w:sz="4" w:space="0" w:color="auto"/>
            <w:bottom w:val="dotted" w:sz="4" w:space="0" w:color="auto"/>
            <w:right w:val="single" w:sz="4" w:space="0" w:color="auto"/>
          </w:tcBorders>
          <w:vAlign w:val="center"/>
        </w:tcPr>
        <w:p w14:paraId="0A47F70D" w14:textId="05BC17E4" w:rsidR="000F0966" w:rsidRPr="00016C85" w:rsidRDefault="009F7714" w:rsidP="000F0966">
          <w:pPr>
            <w:pStyle w:val="stBilgi"/>
            <w:contextualSpacing/>
            <w:rPr>
              <w:rFonts w:ascii="Times New Roman" w:hAnsi="Times New Roman" w:cs="Times New Roman"/>
              <w:b/>
              <w:sz w:val="18"/>
              <w:szCs w:val="18"/>
            </w:rPr>
          </w:pPr>
          <w:r>
            <w:rPr>
              <w:rFonts w:ascii="Times New Roman" w:hAnsi="Times New Roman" w:cs="Times New Roman"/>
              <w:b/>
              <w:sz w:val="18"/>
              <w:szCs w:val="18"/>
            </w:rPr>
            <w:t>30.01.2024</w:t>
          </w:r>
        </w:p>
      </w:tc>
    </w:tr>
    <w:tr w:rsidR="000F0966" w14:paraId="6D4AB8ED" w14:textId="77777777" w:rsidTr="005C3F9E">
      <w:trPr>
        <w:trHeight w:val="314"/>
      </w:trPr>
      <w:tc>
        <w:tcPr>
          <w:tcW w:w="1805" w:type="dxa"/>
          <w:vMerge/>
          <w:tcBorders>
            <w:left w:val="single" w:sz="4" w:space="0" w:color="auto"/>
            <w:right w:val="nil"/>
          </w:tcBorders>
        </w:tcPr>
        <w:p w14:paraId="19179101" w14:textId="77777777" w:rsidR="000F0966" w:rsidRDefault="000F0966" w:rsidP="000F0966">
          <w:pPr>
            <w:pStyle w:val="stBilgi"/>
            <w:rPr>
              <w:noProof/>
              <w:lang w:eastAsia="tr-TR"/>
            </w:rPr>
          </w:pPr>
        </w:p>
      </w:tc>
      <w:tc>
        <w:tcPr>
          <w:tcW w:w="5424" w:type="dxa"/>
          <w:vMerge/>
          <w:tcBorders>
            <w:top w:val="nil"/>
            <w:left w:val="nil"/>
            <w:bottom w:val="nil"/>
            <w:right w:val="nil"/>
          </w:tcBorders>
        </w:tcPr>
        <w:p w14:paraId="38228D0F" w14:textId="77777777" w:rsidR="000F0966" w:rsidRDefault="000F0966" w:rsidP="000F0966">
          <w:pPr>
            <w:pStyle w:val="stBilgi"/>
          </w:pPr>
        </w:p>
      </w:tc>
      <w:tc>
        <w:tcPr>
          <w:tcW w:w="236" w:type="dxa"/>
          <w:vMerge/>
          <w:tcBorders>
            <w:left w:val="nil"/>
            <w:bottom w:val="nil"/>
            <w:right w:val="dotted" w:sz="4" w:space="0" w:color="auto"/>
          </w:tcBorders>
        </w:tcPr>
        <w:p w14:paraId="208A4D0C" w14:textId="77777777" w:rsidR="000F0966" w:rsidRDefault="000F0966" w:rsidP="000F0966">
          <w:pPr>
            <w:pStyle w:val="stBilgi"/>
          </w:pPr>
        </w:p>
      </w:tc>
      <w:tc>
        <w:tcPr>
          <w:tcW w:w="1628" w:type="dxa"/>
          <w:tcBorders>
            <w:top w:val="dotted" w:sz="4" w:space="0" w:color="auto"/>
            <w:left w:val="dotted" w:sz="4" w:space="0" w:color="auto"/>
            <w:bottom w:val="dotted" w:sz="4" w:space="0" w:color="auto"/>
            <w:right w:val="dotted" w:sz="4" w:space="0" w:color="auto"/>
          </w:tcBorders>
          <w:vAlign w:val="center"/>
        </w:tcPr>
        <w:p w14:paraId="74BA7B9B" w14:textId="77777777" w:rsidR="000F0966" w:rsidRPr="00016C85" w:rsidRDefault="000F0966" w:rsidP="000F0966">
          <w:pPr>
            <w:pStyle w:val="stBilgi"/>
            <w:contextualSpacing/>
            <w:rPr>
              <w:rFonts w:ascii="Times New Roman" w:hAnsi="Times New Roman" w:cs="Times New Roman"/>
              <w:b/>
              <w:sz w:val="18"/>
              <w:szCs w:val="18"/>
            </w:rPr>
          </w:pPr>
          <w:r w:rsidRPr="00016C85">
            <w:rPr>
              <w:rFonts w:ascii="Times New Roman" w:hAnsi="Times New Roman" w:cs="Times New Roman"/>
              <w:b/>
              <w:sz w:val="18"/>
              <w:szCs w:val="18"/>
            </w:rPr>
            <w:t>Sayfa No</w:t>
          </w:r>
        </w:p>
      </w:tc>
      <w:tc>
        <w:tcPr>
          <w:tcW w:w="1853" w:type="dxa"/>
          <w:tcBorders>
            <w:top w:val="dotted" w:sz="4" w:space="0" w:color="auto"/>
            <w:left w:val="dotted" w:sz="4" w:space="0" w:color="auto"/>
            <w:bottom w:val="dotted" w:sz="4" w:space="0" w:color="auto"/>
            <w:right w:val="single" w:sz="4" w:space="0" w:color="auto"/>
          </w:tcBorders>
          <w:vAlign w:val="center"/>
        </w:tcPr>
        <w:p w14:paraId="3124D6A1" w14:textId="77777777" w:rsidR="000F0966" w:rsidRPr="00016C85" w:rsidRDefault="000F0966" w:rsidP="000F0966">
          <w:pPr>
            <w:pStyle w:val="stBilgi"/>
            <w:contextualSpacing/>
            <w:rPr>
              <w:rFonts w:ascii="Times New Roman" w:hAnsi="Times New Roman" w:cs="Times New Roman"/>
              <w:b/>
              <w:sz w:val="18"/>
              <w:szCs w:val="18"/>
            </w:rPr>
          </w:pPr>
          <w:r w:rsidRPr="00334F5B">
            <w:rPr>
              <w:rFonts w:ascii="Times New Roman" w:hAnsi="Times New Roman" w:cs="Times New Roman"/>
              <w:b/>
              <w:sz w:val="18"/>
              <w:szCs w:val="18"/>
            </w:rPr>
            <w:t xml:space="preserve"> </w:t>
          </w:r>
          <w:r w:rsidRPr="00334F5B">
            <w:rPr>
              <w:rFonts w:ascii="Times New Roman" w:hAnsi="Times New Roman" w:cs="Times New Roman"/>
              <w:b/>
              <w:bCs/>
              <w:sz w:val="18"/>
              <w:szCs w:val="18"/>
            </w:rPr>
            <w:fldChar w:fldCharType="begin"/>
          </w:r>
          <w:r w:rsidRPr="00334F5B">
            <w:rPr>
              <w:rFonts w:ascii="Times New Roman" w:hAnsi="Times New Roman" w:cs="Times New Roman"/>
              <w:b/>
              <w:bCs/>
              <w:sz w:val="18"/>
              <w:szCs w:val="18"/>
            </w:rPr>
            <w:instrText>PAGE  \* Arabic  \* MERGEFORMAT</w:instrText>
          </w:r>
          <w:r w:rsidRPr="00334F5B">
            <w:rPr>
              <w:rFonts w:ascii="Times New Roman" w:hAnsi="Times New Roman" w:cs="Times New Roman"/>
              <w:b/>
              <w:bCs/>
              <w:sz w:val="18"/>
              <w:szCs w:val="18"/>
            </w:rPr>
            <w:fldChar w:fldCharType="separate"/>
          </w:r>
          <w:r w:rsidR="00C17D7E">
            <w:rPr>
              <w:rFonts w:ascii="Times New Roman" w:hAnsi="Times New Roman" w:cs="Times New Roman"/>
              <w:b/>
              <w:bCs/>
              <w:noProof/>
              <w:sz w:val="18"/>
              <w:szCs w:val="18"/>
            </w:rPr>
            <w:t>1</w:t>
          </w:r>
          <w:r w:rsidRPr="00334F5B">
            <w:rPr>
              <w:rFonts w:ascii="Times New Roman" w:hAnsi="Times New Roman" w:cs="Times New Roman"/>
              <w:b/>
              <w:bCs/>
              <w:sz w:val="18"/>
              <w:szCs w:val="18"/>
            </w:rPr>
            <w:fldChar w:fldCharType="end"/>
          </w:r>
          <w:r w:rsidRPr="00334F5B">
            <w:rPr>
              <w:rFonts w:ascii="Times New Roman" w:hAnsi="Times New Roman" w:cs="Times New Roman"/>
              <w:b/>
              <w:sz w:val="18"/>
              <w:szCs w:val="18"/>
            </w:rPr>
            <w:t xml:space="preserve"> / </w:t>
          </w:r>
          <w:r w:rsidRPr="00334F5B">
            <w:rPr>
              <w:rFonts w:ascii="Times New Roman" w:hAnsi="Times New Roman" w:cs="Times New Roman"/>
              <w:b/>
              <w:bCs/>
              <w:sz w:val="18"/>
              <w:szCs w:val="18"/>
            </w:rPr>
            <w:fldChar w:fldCharType="begin"/>
          </w:r>
          <w:r w:rsidRPr="00334F5B">
            <w:rPr>
              <w:rFonts w:ascii="Times New Roman" w:hAnsi="Times New Roman" w:cs="Times New Roman"/>
              <w:b/>
              <w:bCs/>
              <w:sz w:val="18"/>
              <w:szCs w:val="18"/>
            </w:rPr>
            <w:instrText>NUMPAGES  \* Arabic  \* MERGEFORMAT</w:instrText>
          </w:r>
          <w:r w:rsidRPr="00334F5B">
            <w:rPr>
              <w:rFonts w:ascii="Times New Roman" w:hAnsi="Times New Roman" w:cs="Times New Roman"/>
              <w:b/>
              <w:bCs/>
              <w:sz w:val="18"/>
              <w:szCs w:val="18"/>
            </w:rPr>
            <w:fldChar w:fldCharType="separate"/>
          </w:r>
          <w:r w:rsidR="00C17D7E">
            <w:rPr>
              <w:rFonts w:ascii="Times New Roman" w:hAnsi="Times New Roman" w:cs="Times New Roman"/>
              <w:b/>
              <w:bCs/>
              <w:noProof/>
              <w:sz w:val="18"/>
              <w:szCs w:val="18"/>
            </w:rPr>
            <w:t>3</w:t>
          </w:r>
          <w:r w:rsidRPr="00334F5B">
            <w:rPr>
              <w:rFonts w:ascii="Times New Roman" w:hAnsi="Times New Roman" w:cs="Times New Roman"/>
              <w:b/>
              <w:bCs/>
              <w:sz w:val="18"/>
              <w:szCs w:val="18"/>
            </w:rPr>
            <w:fldChar w:fldCharType="end"/>
          </w:r>
        </w:p>
      </w:tc>
    </w:tr>
    <w:tr w:rsidR="000F0966" w14:paraId="51CEC22B" w14:textId="77777777" w:rsidTr="005C3F9E">
      <w:trPr>
        <w:trHeight w:val="347"/>
      </w:trPr>
      <w:tc>
        <w:tcPr>
          <w:tcW w:w="1805" w:type="dxa"/>
          <w:vMerge/>
          <w:tcBorders>
            <w:left w:val="single" w:sz="4" w:space="0" w:color="auto"/>
            <w:bottom w:val="single" w:sz="4" w:space="0" w:color="auto"/>
            <w:right w:val="nil"/>
          </w:tcBorders>
        </w:tcPr>
        <w:p w14:paraId="66A53F27" w14:textId="77777777" w:rsidR="000F0966" w:rsidRDefault="000F0966" w:rsidP="000F0966">
          <w:pPr>
            <w:pStyle w:val="stBilgi"/>
            <w:rPr>
              <w:noProof/>
              <w:lang w:eastAsia="tr-TR"/>
            </w:rPr>
          </w:pPr>
        </w:p>
      </w:tc>
      <w:tc>
        <w:tcPr>
          <w:tcW w:w="5424" w:type="dxa"/>
          <w:vMerge/>
          <w:tcBorders>
            <w:top w:val="nil"/>
            <w:left w:val="nil"/>
            <w:bottom w:val="single" w:sz="4" w:space="0" w:color="auto"/>
            <w:right w:val="nil"/>
          </w:tcBorders>
        </w:tcPr>
        <w:p w14:paraId="6C749A1A" w14:textId="77777777" w:rsidR="000F0966" w:rsidRDefault="000F0966" w:rsidP="000F0966">
          <w:pPr>
            <w:pStyle w:val="stBilgi"/>
          </w:pPr>
        </w:p>
      </w:tc>
      <w:tc>
        <w:tcPr>
          <w:tcW w:w="236" w:type="dxa"/>
          <w:vMerge/>
          <w:tcBorders>
            <w:left w:val="nil"/>
            <w:bottom w:val="single" w:sz="4" w:space="0" w:color="auto"/>
            <w:right w:val="nil"/>
          </w:tcBorders>
        </w:tcPr>
        <w:p w14:paraId="5048B69B" w14:textId="77777777" w:rsidR="000F0966" w:rsidRDefault="000F0966" w:rsidP="000F0966">
          <w:pPr>
            <w:pStyle w:val="stBilgi"/>
          </w:pPr>
        </w:p>
      </w:tc>
      <w:tc>
        <w:tcPr>
          <w:tcW w:w="3481" w:type="dxa"/>
          <w:gridSpan w:val="2"/>
          <w:tcBorders>
            <w:top w:val="dotted" w:sz="4" w:space="0" w:color="auto"/>
            <w:left w:val="nil"/>
            <w:bottom w:val="single" w:sz="4" w:space="0" w:color="auto"/>
            <w:right w:val="single" w:sz="4" w:space="0" w:color="auto"/>
          </w:tcBorders>
          <w:vAlign w:val="center"/>
        </w:tcPr>
        <w:p w14:paraId="1092262A" w14:textId="77777777" w:rsidR="000F0966" w:rsidRPr="009D225A" w:rsidRDefault="000F0966" w:rsidP="000F0966">
          <w:pPr>
            <w:contextualSpacing/>
            <w:rPr>
              <w:rFonts w:ascii="Times New Roman" w:hAnsi="Times New Roman" w:cs="Times New Roman"/>
              <w:b/>
              <w:sz w:val="20"/>
            </w:rPr>
          </w:pPr>
        </w:p>
      </w:tc>
    </w:tr>
  </w:tbl>
  <w:p w14:paraId="03FBCC35" w14:textId="77777777" w:rsidR="00894FCE" w:rsidRDefault="00894FC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DD78" w14:textId="77777777" w:rsidR="009F7714" w:rsidRDefault="009F77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121"/>
    <w:multiLevelType w:val="hybridMultilevel"/>
    <w:tmpl w:val="130E6C5C"/>
    <w:lvl w:ilvl="0" w:tplc="9B00CB2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BD81539"/>
    <w:multiLevelType w:val="hybridMultilevel"/>
    <w:tmpl w:val="E5186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4847DE"/>
    <w:multiLevelType w:val="hybridMultilevel"/>
    <w:tmpl w:val="2CE6E9BE"/>
    <w:lvl w:ilvl="0" w:tplc="B7FA7FA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5F69F2"/>
    <w:multiLevelType w:val="hybridMultilevel"/>
    <w:tmpl w:val="83166B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3513"/>
    <w:multiLevelType w:val="multilevel"/>
    <w:tmpl w:val="05108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C030C1"/>
    <w:multiLevelType w:val="hybridMultilevel"/>
    <w:tmpl w:val="35C069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081304B"/>
    <w:multiLevelType w:val="hybridMultilevel"/>
    <w:tmpl w:val="F3A47F10"/>
    <w:lvl w:ilvl="0" w:tplc="FB5ED4A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52F2ED1"/>
    <w:multiLevelType w:val="hybridMultilevel"/>
    <w:tmpl w:val="27764D7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995F3A"/>
    <w:multiLevelType w:val="hybridMultilevel"/>
    <w:tmpl w:val="EB84B6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FFC1319"/>
    <w:multiLevelType w:val="hybridMultilevel"/>
    <w:tmpl w:val="AC0821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DF77A3"/>
    <w:multiLevelType w:val="hybridMultilevel"/>
    <w:tmpl w:val="3F96E5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FBB18E7"/>
    <w:multiLevelType w:val="hybridMultilevel"/>
    <w:tmpl w:val="902C8852"/>
    <w:lvl w:ilvl="0" w:tplc="54386898">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6DE7261"/>
    <w:multiLevelType w:val="hybridMultilevel"/>
    <w:tmpl w:val="662065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A41C05"/>
    <w:multiLevelType w:val="hybridMultilevel"/>
    <w:tmpl w:val="49F0CC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0701D26"/>
    <w:multiLevelType w:val="hybridMultilevel"/>
    <w:tmpl w:val="DD0CB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C044C7A"/>
    <w:multiLevelType w:val="hybridMultilevel"/>
    <w:tmpl w:val="3654B41E"/>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20" w15:restartNumberingAfterBreak="0">
    <w:nsid w:val="5CE053BD"/>
    <w:multiLevelType w:val="hybridMultilevel"/>
    <w:tmpl w:val="7CF42A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4AB39B8"/>
    <w:multiLevelType w:val="hybridMultilevel"/>
    <w:tmpl w:val="EFCAA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3F635A"/>
    <w:multiLevelType w:val="hybridMultilevel"/>
    <w:tmpl w:val="61E88E84"/>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23" w15:restartNumberingAfterBreak="0">
    <w:nsid w:val="68640A1E"/>
    <w:multiLevelType w:val="hybridMultilevel"/>
    <w:tmpl w:val="89FAA8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DC14B8B"/>
    <w:multiLevelType w:val="hybridMultilevel"/>
    <w:tmpl w:val="B04E3B2E"/>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A53F6D"/>
    <w:multiLevelType w:val="hybridMultilevel"/>
    <w:tmpl w:val="044E886A"/>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AC2446"/>
    <w:multiLevelType w:val="hybridMultilevel"/>
    <w:tmpl w:val="830CE770"/>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27" w15:restartNumberingAfterBreak="0">
    <w:nsid w:val="7CA92B91"/>
    <w:multiLevelType w:val="hybridMultilevel"/>
    <w:tmpl w:val="DB26F880"/>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FA66020"/>
    <w:multiLevelType w:val="hybridMultilevel"/>
    <w:tmpl w:val="E4041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37838080">
    <w:abstractNumId w:val="9"/>
  </w:num>
  <w:num w:numId="2" w16cid:durableId="1513452159">
    <w:abstractNumId w:val="14"/>
  </w:num>
  <w:num w:numId="3" w16cid:durableId="1730031240">
    <w:abstractNumId w:val="3"/>
  </w:num>
  <w:num w:numId="4" w16cid:durableId="867255896">
    <w:abstractNumId w:val="17"/>
  </w:num>
  <w:num w:numId="5" w16cid:durableId="1241334259">
    <w:abstractNumId w:val="4"/>
  </w:num>
  <w:num w:numId="6" w16cid:durableId="2007902391">
    <w:abstractNumId w:val="8"/>
  </w:num>
  <w:num w:numId="7" w16cid:durableId="1373116969">
    <w:abstractNumId w:val="27"/>
  </w:num>
  <w:num w:numId="8" w16cid:durableId="1362362739">
    <w:abstractNumId w:val="16"/>
  </w:num>
  <w:num w:numId="9" w16cid:durableId="1662586468">
    <w:abstractNumId w:val="20"/>
  </w:num>
  <w:num w:numId="10" w16cid:durableId="114521035">
    <w:abstractNumId w:val="11"/>
  </w:num>
  <w:num w:numId="11" w16cid:durableId="1233085125">
    <w:abstractNumId w:val="15"/>
  </w:num>
  <w:num w:numId="12" w16cid:durableId="1818449718">
    <w:abstractNumId w:val="23"/>
  </w:num>
  <w:num w:numId="13" w16cid:durableId="1847210153">
    <w:abstractNumId w:val="6"/>
  </w:num>
  <w:num w:numId="14" w16cid:durableId="1563952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3913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231484">
    <w:abstractNumId w:val="10"/>
  </w:num>
  <w:num w:numId="17" w16cid:durableId="294065675">
    <w:abstractNumId w:val="2"/>
  </w:num>
  <w:num w:numId="18" w16cid:durableId="1047290825">
    <w:abstractNumId w:val="1"/>
  </w:num>
  <w:num w:numId="19" w16cid:durableId="30309337">
    <w:abstractNumId w:val="0"/>
  </w:num>
  <w:num w:numId="20" w16cid:durableId="944459961">
    <w:abstractNumId w:val="25"/>
  </w:num>
  <w:num w:numId="21" w16cid:durableId="824661651">
    <w:abstractNumId w:val="24"/>
  </w:num>
  <w:num w:numId="22" w16cid:durableId="1461924952">
    <w:abstractNumId w:val="7"/>
  </w:num>
  <w:num w:numId="23" w16cid:durableId="1926449573">
    <w:abstractNumId w:val="13"/>
  </w:num>
  <w:num w:numId="24" w16cid:durableId="1792238636">
    <w:abstractNumId w:val="19"/>
  </w:num>
  <w:num w:numId="25" w16cid:durableId="1829637760">
    <w:abstractNumId w:val="26"/>
  </w:num>
  <w:num w:numId="26" w16cid:durableId="649942135">
    <w:abstractNumId w:val="22"/>
  </w:num>
  <w:num w:numId="27" w16cid:durableId="1280068328">
    <w:abstractNumId w:val="28"/>
  </w:num>
  <w:num w:numId="28" w16cid:durableId="1502548677">
    <w:abstractNumId w:val="21"/>
  </w:num>
  <w:num w:numId="29" w16cid:durableId="8516047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6B"/>
    <w:rsid w:val="0004313C"/>
    <w:rsid w:val="000619D4"/>
    <w:rsid w:val="00075035"/>
    <w:rsid w:val="000D28BC"/>
    <w:rsid w:val="000F0966"/>
    <w:rsid w:val="000F1160"/>
    <w:rsid w:val="00102079"/>
    <w:rsid w:val="00152EC9"/>
    <w:rsid w:val="001D410A"/>
    <w:rsid w:val="0020226B"/>
    <w:rsid w:val="002206C7"/>
    <w:rsid w:val="0023282F"/>
    <w:rsid w:val="00284C70"/>
    <w:rsid w:val="002A6601"/>
    <w:rsid w:val="002B6C44"/>
    <w:rsid w:val="002B6F75"/>
    <w:rsid w:val="002C1DE3"/>
    <w:rsid w:val="002C5858"/>
    <w:rsid w:val="002E01D2"/>
    <w:rsid w:val="002E4FCD"/>
    <w:rsid w:val="00311C7E"/>
    <w:rsid w:val="0033103B"/>
    <w:rsid w:val="00372D93"/>
    <w:rsid w:val="00372E22"/>
    <w:rsid w:val="00375B88"/>
    <w:rsid w:val="00381D53"/>
    <w:rsid w:val="003A6531"/>
    <w:rsid w:val="003C0CA7"/>
    <w:rsid w:val="003C2195"/>
    <w:rsid w:val="003C2FA9"/>
    <w:rsid w:val="004A1632"/>
    <w:rsid w:val="004B61DD"/>
    <w:rsid w:val="005564CA"/>
    <w:rsid w:val="005F7B61"/>
    <w:rsid w:val="00610876"/>
    <w:rsid w:val="0069331A"/>
    <w:rsid w:val="006D2FEB"/>
    <w:rsid w:val="007A0040"/>
    <w:rsid w:val="007F408E"/>
    <w:rsid w:val="00894FCE"/>
    <w:rsid w:val="008A6F29"/>
    <w:rsid w:val="008B7571"/>
    <w:rsid w:val="008C77C0"/>
    <w:rsid w:val="008E6AC5"/>
    <w:rsid w:val="00906124"/>
    <w:rsid w:val="00920F0C"/>
    <w:rsid w:val="009F7714"/>
    <w:rsid w:val="00A03DCA"/>
    <w:rsid w:val="00A61820"/>
    <w:rsid w:val="00A72385"/>
    <w:rsid w:val="00B02E0F"/>
    <w:rsid w:val="00B17E36"/>
    <w:rsid w:val="00BC4462"/>
    <w:rsid w:val="00C17D7E"/>
    <w:rsid w:val="00C21094"/>
    <w:rsid w:val="00C26BFB"/>
    <w:rsid w:val="00C40075"/>
    <w:rsid w:val="00CB6C12"/>
    <w:rsid w:val="00D156AC"/>
    <w:rsid w:val="00D62487"/>
    <w:rsid w:val="00D95B7D"/>
    <w:rsid w:val="00E04C18"/>
    <w:rsid w:val="00E43FFD"/>
    <w:rsid w:val="00E84308"/>
    <w:rsid w:val="00E90FA0"/>
    <w:rsid w:val="00FA0D07"/>
    <w:rsid w:val="00FB26F7"/>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47A9D"/>
  <w15:docId w15:val="{C72E8BAC-72AB-4131-97C0-BE40C889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C5"/>
  </w:style>
  <w:style w:type="paragraph" w:styleId="Balk3">
    <w:name w:val="heading 3"/>
    <w:basedOn w:val="Normal"/>
    <w:next w:val="Normal"/>
    <w:link w:val="Balk3Char"/>
    <w:qFormat/>
    <w:rsid w:val="00610876"/>
    <w:pPr>
      <w:keepNext/>
      <w:spacing w:after="0" w:line="360" w:lineRule="auto"/>
      <w:ind w:firstLine="708"/>
      <w:outlineLvl w:val="2"/>
    </w:pPr>
    <w:rPr>
      <w:rFonts w:ascii="Tahoma" w:eastAsia="Times New Roman" w:hAnsi="Tahoma" w:cs="Times New Roman"/>
      <w:b/>
      <w:szCs w:val="20"/>
      <w:u w:val="single"/>
      <w:lang w:eastAsia="tr-TR"/>
    </w:rPr>
  </w:style>
  <w:style w:type="paragraph" w:styleId="Balk4">
    <w:name w:val="heading 4"/>
    <w:basedOn w:val="Normal"/>
    <w:next w:val="Normal"/>
    <w:link w:val="Balk4Char"/>
    <w:qFormat/>
    <w:rsid w:val="00610876"/>
    <w:pPr>
      <w:keepNext/>
      <w:tabs>
        <w:tab w:val="left" w:pos="810"/>
      </w:tabs>
      <w:spacing w:after="0" w:line="240" w:lineRule="atLeast"/>
      <w:ind w:left="720" w:right="702"/>
      <w:jc w:val="both"/>
      <w:outlineLvl w:val="3"/>
    </w:pPr>
    <w:rPr>
      <w:rFonts w:ascii="Tahoma" w:eastAsia="Times New Roman" w:hAnsi="Tahoma" w:cs="Times New Roman"/>
      <w:b/>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character" w:customStyle="1" w:styleId="Balk3Char">
    <w:name w:val="Başlık 3 Char"/>
    <w:basedOn w:val="VarsaylanParagrafYazTipi"/>
    <w:link w:val="Balk3"/>
    <w:rsid w:val="00610876"/>
    <w:rPr>
      <w:rFonts w:ascii="Tahoma" w:eastAsia="Times New Roman" w:hAnsi="Tahoma" w:cs="Times New Roman"/>
      <w:b/>
      <w:szCs w:val="20"/>
      <w:u w:val="single"/>
      <w:lang w:eastAsia="tr-TR"/>
    </w:rPr>
  </w:style>
  <w:style w:type="character" w:customStyle="1" w:styleId="Balk4Char">
    <w:name w:val="Başlık 4 Char"/>
    <w:basedOn w:val="VarsaylanParagrafYazTipi"/>
    <w:link w:val="Balk4"/>
    <w:rsid w:val="00610876"/>
    <w:rPr>
      <w:rFonts w:ascii="Tahoma" w:eastAsia="Times New Roman" w:hAnsi="Tahoma" w:cs="Times New Roman"/>
      <w:b/>
      <w:szCs w:val="20"/>
      <w:u w:val="single"/>
      <w:lang w:eastAsia="tr-TR"/>
    </w:rPr>
  </w:style>
  <w:style w:type="paragraph" w:styleId="ListeParagraf">
    <w:name w:val="List Paragraph"/>
    <w:basedOn w:val="Normal"/>
    <w:uiPriority w:val="34"/>
    <w:qFormat/>
    <w:rsid w:val="00D95B7D"/>
    <w:pPr>
      <w:spacing w:after="0" w:line="240" w:lineRule="auto"/>
      <w:ind w:left="708"/>
    </w:pPr>
    <w:rPr>
      <w:rFonts w:ascii="Times New Roman" w:eastAsia="Times New Roman" w:hAnsi="Times New Roman" w:cs="Times New Roman"/>
      <w:sz w:val="20"/>
      <w:szCs w:val="20"/>
      <w:lang w:eastAsia="tr-TR"/>
    </w:rPr>
  </w:style>
  <w:style w:type="paragraph" w:customStyle="1" w:styleId="Default">
    <w:name w:val="Default"/>
    <w:rsid w:val="0090612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AralkYok">
    <w:name w:val="No Spacing"/>
    <w:uiPriority w:val="1"/>
    <w:qFormat/>
    <w:rsid w:val="00906124"/>
    <w:pPr>
      <w:spacing w:after="0" w:line="240" w:lineRule="auto"/>
    </w:pPr>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rsid w:val="002206C7"/>
    <w:pPr>
      <w:spacing w:after="0" w:line="240" w:lineRule="auto"/>
    </w:pPr>
    <w:rPr>
      <w:rFonts w:ascii="Souvenir Lt BT" w:eastAsia="Times New Roman" w:hAnsi="Souvenir Lt BT" w:cs="Times New Roman"/>
      <w:sz w:val="20"/>
      <w:szCs w:val="24"/>
      <w:lang w:eastAsia="tr-TR"/>
    </w:rPr>
  </w:style>
  <w:style w:type="character" w:customStyle="1" w:styleId="GvdeMetni2Char">
    <w:name w:val="Gövde Metni 2 Char"/>
    <w:basedOn w:val="VarsaylanParagrafYazTipi"/>
    <w:link w:val="GvdeMetni2"/>
    <w:uiPriority w:val="99"/>
    <w:rsid w:val="002206C7"/>
    <w:rPr>
      <w:rFonts w:ascii="Souvenir Lt BT" w:eastAsia="Times New Roman" w:hAnsi="Souvenir Lt BT"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4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ali taş</cp:lastModifiedBy>
  <cp:revision>4</cp:revision>
  <dcterms:created xsi:type="dcterms:W3CDTF">2022-08-31T06:33:00Z</dcterms:created>
  <dcterms:modified xsi:type="dcterms:W3CDTF">2024-02-09T11:49:00Z</dcterms:modified>
</cp:coreProperties>
</file>