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69FB" w14:textId="79714913" w:rsidR="00707C02" w:rsidRPr="000B16A2" w:rsidRDefault="00707C02" w:rsidP="00C10913">
      <w:pPr>
        <w:spacing w:line="360" w:lineRule="auto"/>
        <w:rPr>
          <w:b/>
          <w:bCs/>
          <w:sz w:val="22"/>
          <w:szCs w:val="22"/>
        </w:rPr>
      </w:pPr>
      <w:r w:rsidRPr="00707C02">
        <w:rPr>
          <w:b/>
          <w:bCs/>
          <w:sz w:val="22"/>
          <w:szCs w:val="22"/>
        </w:rPr>
        <w:t xml:space="preserve">1. AMAÇ </w:t>
      </w:r>
    </w:p>
    <w:p w14:paraId="3CCB116A" w14:textId="3ABB7A69" w:rsidR="002F4C44" w:rsidRDefault="007D5751" w:rsidP="00C10913">
      <w:pPr>
        <w:spacing w:line="360" w:lineRule="auto"/>
        <w:jc w:val="both"/>
        <w:rPr>
          <w:sz w:val="22"/>
          <w:szCs w:val="22"/>
        </w:rPr>
      </w:pPr>
      <w:r>
        <w:rPr>
          <w:sz w:val="22"/>
          <w:szCs w:val="22"/>
        </w:rPr>
        <w:t xml:space="preserve"> </w:t>
      </w:r>
      <w:r w:rsidR="00707C02" w:rsidRPr="002F4C44">
        <w:rPr>
          <w:sz w:val="22"/>
          <w:szCs w:val="22"/>
        </w:rPr>
        <w:t xml:space="preserve">Bu </w:t>
      </w:r>
      <w:r w:rsidR="00C70F51" w:rsidRPr="002F4C44">
        <w:rPr>
          <w:sz w:val="22"/>
          <w:szCs w:val="22"/>
        </w:rPr>
        <w:t>prosedürün amacı</w:t>
      </w:r>
      <w:r w:rsidR="00707C02" w:rsidRPr="002F4C44">
        <w:rPr>
          <w:sz w:val="22"/>
          <w:szCs w:val="22"/>
        </w:rPr>
        <w:t>, Üniversitemiz kütüphane</w:t>
      </w:r>
      <w:r w:rsidR="002F4C44" w:rsidRPr="002F4C44">
        <w:rPr>
          <w:sz w:val="22"/>
          <w:szCs w:val="22"/>
        </w:rPr>
        <w:t xml:space="preserve">sinin </w:t>
      </w:r>
      <w:r w:rsidR="00707C02" w:rsidRPr="002F4C44">
        <w:rPr>
          <w:sz w:val="22"/>
          <w:szCs w:val="22"/>
        </w:rPr>
        <w:t xml:space="preserve">bütün materyalinin (kitap, süreli yayın, tez, broşür, görsel-işitsel gereçleri, elektronik veri tabanları vb.) eğitim-öğretimi desteklemek, araştırmalarda yardımcı olmak üzere seçim ve sağlama süreci, satın alma (mal ve hizmet) süreci, ihale yoluyla yapılacak alım işlemleri süreci, kütüphane otomasyon ve güvenlik sistemi iş süreci, kataloglama ve sınıflandırma </w:t>
      </w:r>
      <w:r w:rsidR="002F4C44" w:rsidRPr="002F4C44">
        <w:rPr>
          <w:sz w:val="22"/>
          <w:szCs w:val="22"/>
        </w:rPr>
        <w:t>süreçlerinin</w:t>
      </w:r>
      <w:r w:rsidR="00707C02" w:rsidRPr="002F4C44">
        <w:rPr>
          <w:sz w:val="22"/>
          <w:szCs w:val="22"/>
        </w:rPr>
        <w:t xml:space="preserve"> uygulama esaslarını belirle</w:t>
      </w:r>
      <w:r w:rsidR="002F4C44" w:rsidRPr="002F4C44">
        <w:rPr>
          <w:sz w:val="22"/>
          <w:szCs w:val="22"/>
        </w:rPr>
        <w:t>mektir.</w:t>
      </w:r>
    </w:p>
    <w:p w14:paraId="3D2E74C8" w14:textId="77777777" w:rsidR="00C10913" w:rsidRPr="002F4C44" w:rsidRDefault="00C10913" w:rsidP="00C10913">
      <w:pPr>
        <w:spacing w:line="360" w:lineRule="auto"/>
        <w:jc w:val="both"/>
        <w:rPr>
          <w:sz w:val="22"/>
          <w:szCs w:val="22"/>
        </w:rPr>
      </w:pPr>
    </w:p>
    <w:p w14:paraId="44A0AEE3" w14:textId="77777777" w:rsidR="002F4C44" w:rsidRPr="002F4C44" w:rsidRDefault="002F4C44" w:rsidP="00C10913">
      <w:pPr>
        <w:spacing w:line="360" w:lineRule="auto"/>
        <w:jc w:val="both"/>
        <w:rPr>
          <w:b/>
          <w:bCs/>
          <w:sz w:val="22"/>
          <w:szCs w:val="22"/>
        </w:rPr>
      </w:pPr>
      <w:r w:rsidRPr="002F4C44">
        <w:rPr>
          <w:b/>
          <w:bCs/>
          <w:sz w:val="22"/>
          <w:szCs w:val="22"/>
        </w:rPr>
        <w:t>2. KAPSAM</w:t>
      </w:r>
    </w:p>
    <w:p w14:paraId="0C19E7E8" w14:textId="650500AF" w:rsidR="002F4C44" w:rsidRDefault="002F4C44" w:rsidP="00C10913">
      <w:pPr>
        <w:spacing w:line="360" w:lineRule="auto"/>
        <w:jc w:val="both"/>
        <w:rPr>
          <w:sz w:val="22"/>
          <w:szCs w:val="22"/>
        </w:rPr>
      </w:pPr>
      <w:r w:rsidRPr="002F4C44">
        <w:rPr>
          <w:sz w:val="22"/>
          <w:szCs w:val="22"/>
        </w:rPr>
        <w:t xml:space="preserve">Bu prosedür, Harran Üniversitesi Kütüphane ve </w:t>
      </w:r>
      <w:r w:rsidR="00C70F51" w:rsidRPr="002F4C44">
        <w:rPr>
          <w:sz w:val="22"/>
          <w:szCs w:val="22"/>
        </w:rPr>
        <w:t>Dokümantasyon Daire</w:t>
      </w:r>
      <w:r w:rsidRPr="002F4C44">
        <w:rPr>
          <w:sz w:val="22"/>
          <w:szCs w:val="22"/>
        </w:rPr>
        <w:t xml:space="preserve"> </w:t>
      </w:r>
      <w:r w:rsidR="00C70F51" w:rsidRPr="002F4C44">
        <w:rPr>
          <w:sz w:val="22"/>
          <w:szCs w:val="22"/>
        </w:rPr>
        <w:t>Başkanlığı Teknik</w:t>
      </w:r>
      <w:r w:rsidRPr="002F4C44">
        <w:rPr>
          <w:sz w:val="22"/>
          <w:szCs w:val="22"/>
        </w:rPr>
        <w:t xml:space="preserve"> Hizmetler Şube Müdürlüğü bünyesinde yer alan tüm dokümanları kapsar.</w:t>
      </w:r>
    </w:p>
    <w:p w14:paraId="3ACF8C2A" w14:textId="77777777" w:rsidR="00812652" w:rsidRDefault="00812652" w:rsidP="00C10913">
      <w:pPr>
        <w:spacing w:line="360" w:lineRule="auto"/>
        <w:jc w:val="both"/>
        <w:rPr>
          <w:sz w:val="22"/>
          <w:szCs w:val="22"/>
        </w:rPr>
      </w:pPr>
    </w:p>
    <w:p w14:paraId="5B627359" w14:textId="77777777" w:rsidR="00812652" w:rsidRDefault="00812652" w:rsidP="00C10913">
      <w:pPr>
        <w:spacing w:line="360" w:lineRule="auto"/>
        <w:jc w:val="both"/>
        <w:rPr>
          <w:sz w:val="22"/>
          <w:szCs w:val="22"/>
        </w:rPr>
      </w:pPr>
      <w:r w:rsidRPr="00812652">
        <w:rPr>
          <w:b/>
          <w:bCs/>
          <w:sz w:val="22"/>
          <w:szCs w:val="22"/>
        </w:rPr>
        <w:t>3. SORUMLULUKLAR</w:t>
      </w:r>
      <w:r w:rsidRPr="00812652">
        <w:rPr>
          <w:sz w:val="22"/>
          <w:szCs w:val="22"/>
        </w:rPr>
        <w:t xml:space="preserve"> </w:t>
      </w:r>
    </w:p>
    <w:p w14:paraId="3F1BBE65" w14:textId="7BC553C2" w:rsidR="00812652" w:rsidRDefault="00812652" w:rsidP="00C10913">
      <w:pPr>
        <w:spacing w:line="360" w:lineRule="auto"/>
        <w:jc w:val="both"/>
        <w:rPr>
          <w:sz w:val="22"/>
          <w:szCs w:val="22"/>
        </w:rPr>
      </w:pPr>
      <w:r w:rsidRPr="00812652">
        <w:rPr>
          <w:sz w:val="22"/>
          <w:szCs w:val="22"/>
        </w:rPr>
        <w:t xml:space="preserve">Bu prosedürün hazırlanması ve yönetiminden </w:t>
      </w:r>
      <w:r w:rsidR="00C70F51" w:rsidRPr="002F4C44">
        <w:rPr>
          <w:sz w:val="22"/>
          <w:szCs w:val="22"/>
        </w:rPr>
        <w:t>Kütüphane ve Dokümantasyon Daire Başkanlığı</w:t>
      </w:r>
      <w:r>
        <w:rPr>
          <w:sz w:val="24"/>
          <w:szCs w:val="24"/>
        </w:rPr>
        <w:t xml:space="preserve"> </w:t>
      </w:r>
      <w:r w:rsidRPr="00812652">
        <w:rPr>
          <w:sz w:val="22"/>
          <w:szCs w:val="22"/>
        </w:rPr>
        <w:t>sorumludur. Prosedürün uygulanmasına yönelik diğer sorumluluklar prosedürde belirtilmiştir.</w:t>
      </w:r>
    </w:p>
    <w:p w14:paraId="018A1760" w14:textId="77777777" w:rsidR="00C10913" w:rsidRPr="00C10913" w:rsidRDefault="00C10913" w:rsidP="00C10913">
      <w:pPr>
        <w:spacing w:line="360" w:lineRule="auto"/>
        <w:jc w:val="both"/>
        <w:rPr>
          <w:sz w:val="22"/>
          <w:szCs w:val="22"/>
        </w:rPr>
      </w:pPr>
    </w:p>
    <w:p w14:paraId="77A4681D" w14:textId="3E2B1BBA" w:rsidR="00410679" w:rsidRDefault="00812652" w:rsidP="00C10913">
      <w:pPr>
        <w:spacing w:line="360" w:lineRule="auto"/>
        <w:jc w:val="both"/>
        <w:rPr>
          <w:b/>
          <w:bCs/>
          <w:sz w:val="22"/>
          <w:szCs w:val="22"/>
        </w:rPr>
      </w:pPr>
      <w:r>
        <w:rPr>
          <w:b/>
          <w:bCs/>
          <w:sz w:val="22"/>
          <w:szCs w:val="22"/>
        </w:rPr>
        <w:t>4</w:t>
      </w:r>
      <w:r w:rsidR="00707C02" w:rsidRPr="00707C02">
        <w:rPr>
          <w:b/>
          <w:bCs/>
          <w:sz w:val="22"/>
          <w:szCs w:val="22"/>
        </w:rPr>
        <w:t xml:space="preserve">. TANIMLAR </w:t>
      </w:r>
    </w:p>
    <w:p w14:paraId="40C69819" w14:textId="1F4FB57D" w:rsidR="00410679" w:rsidRPr="00C10913" w:rsidRDefault="00410679" w:rsidP="00C10913">
      <w:pPr>
        <w:pStyle w:val="ListeParagraf"/>
        <w:numPr>
          <w:ilvl w:val="0"/>
          <w:numId w:val="24"/>
        </w:numPr>
        <w:spacing w:line="360" w:lineRule="auto"/>
        <w:ind w:left="426"/>
        <w:jc w:val="both"/>
        <w:rPr>
          <w:sz w:val="22"/>
          <w:szCs w:val="22"/>
        </w:rPr>
      </w:pPr>
      <w:r w:rsidRPr="00C10913">
        <w:rPr>
          <w:b/>
          <w:bCs/>
          <w:sz w:val="22"/>
          <w:szCs w:val="22"/>
        </w:rPr>
        <w:t>KDDB</w:t>
      </w:r>
      <w:r w:rsidR="00A11814" w:rsidRPr="00C10913">
        <w:rPr>
          <w:sz w:val="22"/>
          <w:szCs w:val="22"/>
        </w:rPr>
        <w:t>:</w:t>
      </w:r>
      <w:r w:rsidR="000B16A2" w:rsidRPr="00C10913">
        <w:rPr>
          <w:sz w:val="22"/>
          <w:szCs w:val="22"/>
        </w:rPr>
        <w:t xml:space="preserve"> </w:t>
      </w:r>
      <w:r w:rsidRPr="00C10913">
        <w:rPr>
          <w:sz w:val="22"/>
          <w:szCs w:val="22"/>
        </w:rPr>
        <w:t>Kütüphane ve Dokümantasyon Daire Başkanlığı</w:t>
      </w:r>
      <w:r w:rsidRPr="00C10913">
        <w:rPr>
          <w:sz w:val="22"/>
          <w:szCs w:val="22"/>
        </w:rPr>
        <w:tab/>
        <w:t xml:space="preserve"> </w:t>
      </w:r>
    </w:p>
    <w:p w14:paraId="1DC5DC17" w14:textId="24D1B921" w:rsidR="00410679" w:rsidRPr="00C10913" w:rsidRDefault="00410679" w:rsidP="00C10913">
      <w:pPr>
        <w:pStyle w:val="ListeParagraf"/>
        <w:numPr>
          <w:ilvl w:val="0"/>
          <w:numId w:val="24"/>
        </w:numPr>
        <w:spacing w:line="360" w:lineRule="auto"/>
        <w:ind w:left="426"/>
        <w:jc w:val="both"/>
        <w:rPr>
          <w:sz w:val="22"/>
          <w:szCs w:val="22"/>
        </w:rPr>
      </w:pPr>
      <w:r w:rsidRPr="00C10913">
        <w:rPr>
          <w:b/>
          <w:bCs/>
          <w:sz w:val="22"/>
          <w:szCs w:val="22"/>
        </w:rPr>
        <w:t>SGDB</w:t>
      </w:r>
      <w:r w:rsidR="000B16A2" w:rsidRPr="00C10913">
        <w:rPr>
          <w:b/>
          <w:bCs/>
          <w:sz w:val="22"/>
          <w:szCs w:val="22"/>
        </w:rPr>
        <w:t>:</w:t>
      </w:r>
      <w:r w:rsidR="000B16A2" w:rsidRPr="00C10913">
        <w:rPr>
          <w:sz w:val="22"/>
          <w:szCs w:val="22"/>
        </w:rPr>
        <w:t xml:space="preserve"> </w:t>
      </w:r>
      <w:r w:rsidRPr="00C10913">
        <w:rPr>
          <w:sz w:val="22"/>
          <w:szCs w:val="22"/>
        </w:rPr>
        <w:t xml:space="preserve">Strateji Geliştirme Daire Başkanlığı </w:t>
      </w:r>
      <w:r w:rsidRPr="00C10913">
        <w:rPr>
          <w:sz w:val="22"/>
          <w:szCs w:val="22"/>
        </w:rPr>
        <w:tab/>
      </w:r>
      <w:r w:rsidRPr="00C10913">
        <w:rPr>
          <w:sz w:val="22"/>
          <w:szCs w:val="22"/>
        </w:rPr>
        <w:tab/>
      </w:r>
      <w:r w:rsidRPr="00C10913">
        <w:rPr>
          <w:sz w:val="22"/>
          <w:szCs w:val="22"/>
        </w:rPr>
        <w:tab/>
      </w:r>
    </w:p>
    <w:p w14:paraId="4A992324" w14:textId="7D5DCBEA" w:rsidR="00410679" w:rsidRPr="00C10913" w:rsidRDefault="00410679" w:rsidP="00C10913">
      <w:pPr>
        <w:pStyle w:val="ListeParagraf"/>
        <w:numPr>
          <w:ilvl w:val="0"/>
          <w:numId w:val="24"/>
        </w:numPr>
        <w:spacing w:line="360" w:lineRule="auto"/>
        <w:ind w:left="426"/>
        <w:jc w:val="both"/>
        <w:rPr>
          <w:sz w:val="22"/>
          <w:szCs w:val="22"/>
        </w:rPr>
      </w:pPr>
      <w:r w:rsidRPr="00C10913">
        <w:rPr>
          <w:b/>
          <w:bCs/>
          <w:sz w:val="22"/>
          <w:szCs w:val="22"/>
        </w:rPr>
        <w:t>BİDB</w:t>
      </w:r>
      <w:r w:rsidR="00A11814" w:rsidRPr="00C10913">
        <w:rPr>
          <w:b/>
          <w:bCs/>
          <w:sz w:val="22"/>
          <w:szCs w:val="22"/>
        </w:rPr>
        <w:t>:</w:t>
      </w:r>
      <w:r w:rsidR="000B16A2" w:rsidRPr="00C10913">
        <w:rPr>
          <w:sz w:val="22"/>
          <w:szCs w:val="22"/>
        </w:rPr>
        <w:t xml:space="preserve"> </w:t>
      </w:r>
      <w:r w:rsidRPr="00C10913">
        <w:rPr>
          <w:sz w:val="22"/>
          <w:szCs w:val="22"/>
        </w:rPr>
        <w:t xml:space="preserve">Bilgi İşlem Daire Başkanlığı </w:t>
      </w:r>
      <w:r w:rsidRPr="00C10913">
        <w:rPr>
          <w:sz w:val="22"/>
          <w:szCs w:val="22"/>
        </w:rPr>
        <w:tab/>
      </w:r>
      <w:r w:rsidRPr="00C10913">
        <w:rPr>
          <w:sz w:val="22"/>
          <w:szCs w:val="22"/>
        </w:rPr>
        <w:tab/>
      </w:r>
      <w:r w:rsidRPr="00C10913">
        <w:rPr>
          <w:sz w:val="22"/>
          <w:szCs w:val="22"/>
        </w:rPr>
        <w:tab/>
      </w:r>
      <w:r w:rsidRPr="00C10913">
        <w:rPr>
          <w:sz w:val="22"/>
          <w:szCs w:val="22"/>
        </w:rPr>
        <w:tab/>
        <w:t xml:space="preserve"> </w:t>
      </w:r>
    </w:p>
    <w:p w14:paraId="2154547E" w14:textId="77777777" w:rsidR="000B16A2" w:rsidRPr="00C10913" w:rsidRDefault="00410679" w:rsidP="00C10913">
      <w:pPr>
        <w:pStyle w:val="ListeParagraf"/>
        <w:numPr>
          <w:ilvl w:val="0"/>
          <w:numId w:val="24"/>
        </w:numPr>
        <w:spacing w:line="360" w:lineRule="auto"/>
        <w:ind w:left="426"/>
        <w:jc w:val="both"/>
        <w:rPr>
          <w:sz w:val="22"/>
          <w:szCs w:val="22"/>
        </w:rPr>
      </w:pPr>
      <w:r w:rsidRPr="00C10913">
        <w:rPr>
          <w:b/>
          <w:bCs/>
          <w:sz w:val="22"/>
          <w:szCs w:val="22"/>
        </w:rPr>
        <w:t>KİK</w:t>
      </w:r>
      <w:r w:rsidR="00A11814" w:rsidRPr="00C10913">
        <w:rPr>
          <w:b/>
          <w:bCs/>
          <w:sz w:val="22"/>
          <w:szCs w:val="22"/>
        </w:rPr>
        <w:t>:</w:t>
      </w:r>
      <w:r w:rsidR="000B16A2" w:rsidRPr="00C10913">
        <w:rPr>
          <w:sz w:val="22"/>
          <w:szCs w:val="22"/>
        </w:rPr>
        <w:t xml:space="preserve"> </w:t>
      </w:r>
      <w:r w:rsidRPr="00C10913">
        <w:rPr>
          <w:sz w:val="22"/>
          <w:szCs w:val="22"/>
        </w:rPr>
        <w:t xml:space="preserve">Kamu İhale Kurumu </w:t>
      </w:r>
      <w:r w:rsidRPr="00C10913">
        <w:rPr>
          <w:sz w:val="22"/>
          <w:szCs w:val="22"/>
        </w:rPr>
        <w:tab/>
      </w:r>
      <w:r w:rsidRPr="00C10913">
        <w:rPr>
          <w:sz w:val="22"/>
          <w:szCs w:val="22"/>
        </w:rPr>
        <w:tab/>
      </w:r>
      <w:r w:rsidRPr="00C10913">
        <w:rPr>
          <w:sz w:val="22"/>
          <w:szCs w:val="22"/>
        </w:rPr>
        <w:tab/>
      </w:r>
      <w:r w:rsidRPr="00C10913">
        <w:rPr>
          <w:sz w:val="22"/>
          <w:szCs w:val="22"/>
        </w:rPr>
        <w:tab/>
      </w:r>
      <w:r w:rsidRPr="00C10913">
        <w:rPr>
          <w:sz w:val="22"/>
          <w:szCs w:val="22"/>
        </w:rPr>
        <w:tab/>
      </w:r>
    </w:p>
    <w:p w14:paraId="1E929C43" w14:textId="31BFACC8" w:rsidR="00410679" w:rsidRPr="00C10913" w:rsidRDefault="00410679" w:rsidP="00C10913">
      <w:pPr>
        <w:pStyle w:val="ListeParagraf"/>
        <w:numPr>
          <w:ilvl w:val="0"/>
          <w:numId w:val="24"/>
        </w:numPr>
        <w:spacing w:line="360" w:lineRule="auto"/>
        <w:ind w:left="426"/>
        <w:jc w:val="both"/>
        <w:rPr>
          <w:sz w:val="22"/>
          <w:szCs w:val="22"/>
        </w:rPr>
      </w:pPr>
      <w:r w:rsidRPr="00C10913">
        <w:rPr>
          <w:b/>
          <w:bCs/>
          <w:sz w:val="22"/>
          <w:szCs w:val="22"/>
        </w:rPr>
        <w:t>ULAKBİM</w:t>
      </w:r>
      <w:r w:rsidRPr="00C10913">
        <w:rPr>
          <w:sz w:val="22"/>
          <w:szCs w:val="22"/>
        </w:rPr>
        <w:t>:</w:t>
      </w:r>
      <w:r w:rsidR="000B16A2" w:rsidRPr="00C10913">
        <w:rPr>
          <w:sz w:val="22"/>
          <w:szCs w:val="22"/>
        </w:rPr>
        <w:t xml:space="preserve"> </w:t>
      </w:r>
      <w:r w:rsidR="0003089F" w:rsidRPr="00C10913">
        <w:rPr>
          <w:sz w:val="22"/>
          <w:szCs w:val="22"/>
        </w:rPr>
        <w:t>Ulusal Akademik Ağ ve Bilgi Merkezi</w:t>
      </w:r>
    </w:p>
    <w:p w14:paraId="1AD8AFCD" w14:textId="77777777" w:rsidR="000B16A2" w:rsidRPr="00C10913" w:rsidRDefault="00A11814" w:rsidP="00C10913">
      <w:pPr>
        <w:pStyle w:val="Balk2"/>
        <w:numPr>
          <w:ilvl w:val="0"/>
          <w:numId w:val="24"/>
        </w:numPr>
        <w:spacing w:before="0" w:beforeAutospacing="0" w:after="0" w:afterAutospacing="0" w:line="360" w:lineRule="auto"/>
        <w:ind w:left="426"/>
        <w:jc w:val="both"/>
        <w:rPr>
          <w:b w:val="0"/>
          <w:bCs w:val="0"/>
          <w:color w:val="000000"/>
          <w:sz w:val="22"/>
          <w:szCs w:val="22"/>
        </w:rPr>
      </w:pPr>
      <w:r w:rsidRPr="00C10913">
        <w:rPr>
          <w:bCs w:val="0"/>
          <w:sz w:val="22"/>
          <w:szCs w:val="22"/>
        </w:rPr>
        <w:t>AACR2:</w:t>
      </w:r>
      <w:r w:rsidR="000B16A2" w:rsidRPr="00C10913">
        <w:rPr>
          <w:b w:val="0"/>
          <w:bCs w:val="0"/>
          <w:color w:val="000000"/>
          <w:sz w:val="22"/>
          <w:szCs w:val="22"/>
        </w:rPr>
        <w:t xml:space="preserve"> </w:t>
      </w:r>
      <w:r w:rsidRPr="00C10913">
        <w:rPr>
          <w:b w:val="0"/>
          <w:bCs w:val="0"/>
          <w:color w:val="000000"/>
          <w:sz w:val="22"/>
          <w:szCs w:val="22"/>
        </w:rPr>
        <w:t>Anglo-Amerikan Kataloglama Kuralları</w:t>
      </w:r>
    </w:p>
    <w:p w14:paraId="52254E35" w14:textId="25FDF625" w:rsidR="00A11814" w:rsidRPr="00C10913" w:rsidRDefault="00A11814" w:rsidP="00C10913">
      <w:pPr>
        <w:pStyle w:val="Balk2"/>
        <w:numPr>
          <w:ilvl w:val="0"/>
          <w:numId w:val="24"/>
        </w:numPr>
        <w:spacing w:before="0" w:beforeAutospacing="0" w:after="0" w:afterAutospacing="0" w:line="360" w:lineRule="auto"/>
        <w:ind w:left="426"/>
        <w:jc w:val="both"/>
        <w:rPr>
          <w:rStyle w:val="Gl"/>
          <w:color w:val="000000" w:themeColor="text1"/>
          <w:sz w:val="22"/>
          <w:szCs w:val="22"/>
        </w:rPr>
      </w:pPr>
      <w:r w:rsidRPr="00C10913">
        <w:rPr>
          <w:bCs w:val="0"/>
          <w:sz w:val="22"/>
          <w:szCs w:val="22"/>
        </w:rPr>
        <w:t>ANKOS:</w:t>
      </w:r>
      <w:r w:rsidRPr="00C10913">
        <w:rPr>
          <w:b w:val="0"/>
          <w:sz w:val="22"/>
          <w:szCs w:val="22"/>
        </w:rPr>
        <w:t xml:space="preserve"> </w:t>
      </w:r>
      <w:r w:rsidR="0003089F" w:rsidRPr="00C10913">
        <w:rPr>
          <w:b w:val="0"/>
          <w:color w:val="000000" w:themeColor="text1"/>
          <w:sz w:val="22"/>
          <w:szCs w:val="22"/>
        </w:rPr>
        <w:t>Anadolu Üniversite Kütüphanaleri Konsorsiyumu</w:t>
      </w:r>
    </w:p>
    <w:p w14:paraId="533DD631" w14:textId="3CBE3D18" w:rsidR="000B16A2" w:rsidRPr="00C10913" w:rsidRDefault="00AC373D" w:rsidP="00C10913">
      <w:pPr>
        <w:pStyle w:val="ListeParagraf"/>
        <w:numPr>
          <w:ilvl w:val="0"/>
          <w:numId w:val="24"/>
        </w:numPr>
        <w:spacing w:line="360" w:lineRule="auto"/>
        <w:ind w:left="426"/>
        <w:jc w:val="both"/>
        <w:rPr>
          <w:b/>
          <w:bCs/>
          <w:color w:val="000000" w:themeColor="text1"/>
          <w:sz w:val="22"/>
          <w:szCs w:val="22"/>
        </w:rPr>
      </w:pPr>
      <w:r w:rsidRPr="00C10913">
        <w:rPr>
          <w:b/>
          <w:bCs/>
          <w:color w:val="000000" w:themeColor="text1"/>
          <w:sz w:val="22"/>
          <w:szCs w:val="22"/>
        </w:rPr>
        <w:t>MARC (Machine Readable Cataloging):</w:t>
      </w:r>
      <w:r w:rsidR="00C10913" w:rsidRPr="00C10913">
        <w:rPr>
          <w:b/>
          <w:bCs/>
          <w:color w:val="000000" w:themeColor="text1"/>
          <w:sz w:val="22"/>
          <w:szCs w:val="22"/>
        </w:rPr>
        <w:t xml:space="preserve"> </w:t>
      </w:r>
      <w:r w:rsidRPr="00C10913">
        <w:rPr>
          <w:color w:val="000000" w:themeColor="text1"/>
          <w:sz w:val="22"/>
          <w:szCs w:val="22"/>
        </w:rPr>
        <w:t>Makinece okunabilir kataloglama formatı</w:t>
      </w:r>
      <w:r w:rsidRPr="00C10913">
        <w:rPr>
          <w:color w:val="000000" w:themeColor="text1"/>
          <w:sz w:val="22"/>
          <w:szCs w:val="22"/>
        </w:rPr>
        <w:tab/>
        <w:t xml:space="preserve"> </w:t>
      </w:r>
    </w:p>
    <w:p w14:paraId="2AE2A10D" w14:textId="4A33715B" w:rsidR="00E633BC" w:rsidRPr="00C10913" w:rsidRDefault="0003089F" w:rsidP="00C10913">
      <w:pPr>
        <w:pStyle w:val="ListeParagraf"/>
        <w:numPr>
          <w:ilvl w:val="0"/>
          <w:numId w:val="24"/>
        </w:numPr>
        <w:spacing w:line="360" w:lineRule="auto"/>
        <w:ind w:left="426"/>
        <w:jc w:val="both"/>
        <w:rPr>
          <w:b/>
          <w:bCs/>
          <w:color w:val="000000" w:themeColor="text1"/>
          <w:sz w:val="22"/>
          <w:szCs w:val="22"/>
        </w:rPr>
      </w:pPr>
      <w:r w:rsidRPr="00C10913">
        <w:rPr>
          <w:b/>
          <w:bCs/>
          <w:color w:val="000000" w:themeColor="text1"/>
          <w:sz w:val="22"/>
          <w:szCs w:val="22"/>
          <w:lang w:eastAsia="tr-TR"/>
        </w:rPr>
        <w:t>UBSS</w:t>
      </w:r>
      <w:r w:rsidRPr="00C10913">
        <w:rPr>
          <w:color w:val="000000" w:themeColor="text1"/>
          <w:sz w:val="22"/>
          <w:szCs w:val="22"/>
          <w:lang w:eastAsia="tr-TR"/>
        </w:rPr>
        <w:t>: Ulusal Belge Sağlama Sistemi</w:t>
      </w:r>
    </w:p>
    <w:p w14:paraId="38F6F0A7" w14:textId="47D07AA6" w:rsidR="0003089F" w:rsidRPr="00C10913" w:rsidRDefault="0003089F" w:rsidP="00C10913">
      <w:pPr>
        <w:pStyle w:val="ListeParagraf"/>
        <w:numPr>
          <w:ilvl w:val="0"/>
          <w:numId w:val="24"/>
        </w:numPr>
        <w:spacing w:line="360" w:lineRule="auto"/>
        <w:ind w:left="426"/>
        <w:jc w:val="both"/>
        <w:rPr>
          <w:color w:val="000000" w:themeColor="text1"/>
          <w:sz w:val="22"/>
          <w:szCs w:val="22"/>
          <w:lang w:eastAsia="tr-TR"/>
        </w:rPr>
      </w:pPr>
      <w:r w:rsidRPr="00C10913">
        <w:rPr>
          <w:b/>
          <w:bCs/>
          <w:color w:val="000000" w:themeColor="text1"/>
          <w:sz w:val="22"/>
          <w:szCs w:val="22"/>
          <w:lang w:eastAsia="tr-TR"/>
        </w:rPr>
        <w:t>KİTS:</w:t>
      </w:r>
      <w:r w:rsidRPr="00C10913">
        <w:rPr>
          <w:color w:val="000000" w:themeColor="text1"/>
          <w:sz w:val="22"/>
          <w:szCs w:val="22"/>
          <w:lang w:eastAsia="tr-TR"/>
        </w:rPr>
        <w:t xml:space="preserve"> Kütüphaneler Arası </w:t>
      </w:r>
      <w:r w:rsidR="008E517C" w:rsidRPr="00C10913">
        <w:rPr>
          <w:color w:val="000000" w:themeColor="text1"/>
          <w:sz w:val="22"/>
          <w:szCs w:val="22"/>
          <w:lang w:eastAsia="tr-TR"/>
        </w:rPr>
        <w:t xml:space="preserve">İş </w:t>
      </w:r>
      <w:r w:rsidR="005B75FD" w:rsidRPr="00C10913">
        <w:rPr>
          <w:color w:val="000000" w:themeColor="text1"/>
          <w:sz w:val="22"/>
          <w:szCs w:val="22"/>
          <w:lang w:eastAsia="tr-TR"/>
        </w:rPr>
        <w:t>B</w:t>
      </w:r>
      <w:r w:rsidR="008E517C" w:rsidRPr="00C10913">
        <w:rPr>
          <w:color w:val="000000" w:themeColor="text1"/>
          <w:sz w:val="22"/>
          <w:szCs w:val="22"/>
          <w:lang w:eastAsia="tr-TR"/>
        </w:rPr>
        <w:t>irliği</w:t>
      </w:r>
      <w:r w:rsidRPr="00C10913">
        <w:rPr>
          <w:color w:val="000000" w:themeColor="text1"/>
          <w:sz w:val="22"/>
          <w:szCs w:val="22"/>
          <w:lang w:eastAsia="tr-TR"/>
        </w:rPr>
        <w:t xml:space="preserve"> Takip Sistemi</w:t>
      </w:r>
    </w:p>
    <w:p w14:paraId="0178C6BB" w14:textId="3F9BA1AB" w:rsidR="0003089F" w:rsidRPr="00C10913" w:rsidRDefault="002F470A" w:rsidP="00C10913">
      <w:pPr>
        <w:pStyle w:val="ListeParagraf"/>
        <w:numPr>
          <w:ilvl w:val="0"/>
          <w:numId w:val="24"/>
        </w:numPr>
        <w:spacing w:line="360" w:lineRule="auto"/>
        <w:ind w:left="426"/>
        <w:jc w:val="both"/>
        <w:rPr>
          <w:color w:val="000000" w:themeColor="text1"/>
          <w:sz w:val="22"/>
          <w:szCs w:val="22"/>
        </w:rPr>
      </w:pPr>
      <w:r w:rsidRPr="00C10913">
        <w:rPr>
          <w:b/>
          <w:bCs/>
          <w:color w:val="000000" w:themeColor="text1"/>
          <w:sz w:val="22"/>
          <w:szCs w:val="22"/>
        </w:rPr>
        <w:t>KYS:</w:t>
      </w:r>
      <w:r w:rsidR="000B16A2" w:rsidRPr="00C10913">
        <w:rPr>
          <w:color w:val="000000" w:themeColor="text1"/>
          <w:sz w:val="22"/>
          <w:szCs w:val="22"/>
        </w:rPr>
        <w:t xml:space="preserve"> </w:t>
      </w:r>
      <w:r w:rsidRPr="00C10913">
        <w:rPr>
          <w:color w:val="000000" w:themeColor="text1"/>
          <w:sz w:val="22"/>
          <w:szCs w:val="22"/>
        </w:rPr>
        <w:t>İç ve dış paydaşların öneri, şikâyet, talep vb. istek ve geri bildirimleri web ortamından iletebildiği Kalite Yönetim Bilgi Sistemi platformudur.</w:t>
      </w:r>
    </w:p>
    <w:p w14:paraId="70906581" w14:textId="195DCA6B" w:rsidR="002F470A" w:rsidRPr="00C10913" w:rsidRDefault="00656DCA" w:rsidP="00C10913">
      <w:pPr>
        <w:pStyle w:val="ListeParagraf"/>
        <w:numPr>
          <w:ilvl w:val="0"/>
          <w:numId w:val="24"/>
        </w:numPr>
        <w:spacing w:line="360" w:lineRule="auto"/>
        <w:ind w:left="426"/>
        <w:jc w:val="both"/>
        <w:rPr>
          <w:color w:val="000000" w:themeColor="text1"/>
          <w:sz w:val="22"/>
          <w:szCs w:val="22"/>
        </w:rPr>
      </w:pPr>
      <w:r w:rsidRPr="00C10913">
        <w:rPr>
          <w:b/>
          <w:bCs/>
          <w:color w:val="000000" w:themeColor="text1"/>
          <w:sz w:val="22"/>
          <w:szCs w:val="22"/>
        </w:rPr>
        <w:t>KİK:</w:t>
      </w:r>
      <w:r w:rsidRPr="00C10913">
        <w:rPr>
          <w:color w:val="000000" w:themeColor="text1"/>
          <w:sz w:val="22"/>
          <w:szCs w:val="22"/>
        </w:rPr>
        <w:t xml:space="preserve"> Kamu İhale Kurumu</w:t>
      </w:r>
    </w:p>
    <w:p w14:paraId="67E0D4B1" w14:textId="77777777" w:rsidR="00656DCA" w:rsidRPr="002F470A" w:rsidRDefault="00656DCA" w:rsidP="002F4C44">
      <w:pPr>
        <w:jc w:val="both"/>
        <w:rPr>
          <w:sz w:val="24"/>
          <w:szCs w:val="24"/>
        </w:rPr>
      </w:pPr>
    </w:p>
    <w:p w14:paraId="3B088879" w14:textId="5D1EFFAD" w:rsidR="00E633BC" w:rsidRDefault="00240FD3" w:rsidP="002F4C44">
      <w:pPr>
        <w:jc w:val="both"/>
        <w:rPr>
          <w:b/>
          <w:bCs/>
          <w:sz w:val="22"/>
          <w:szCs w:val="22"/>
        </w:rPr>
      </w:pPr>
      <w:r w:rsidRPr="00240FD3">
        <w:rPr>
          <w:b/>
          <w:bCs/>
          <w:sz w:val="22"/>
          <w:szCs w:val="22"/>
        </w:rPr>
        <w:t xml:space="preserve">5. UYGULAMA  </w:t>
      </w:r>
    </w:p>
    <w:p w14:paraId="2B97B4B9" w14:textId="77777777" w:rsidR="00C10913" w:rsidRDefault="00C10913" w:rsidP="002F4C44">
      <w:pPr>
        <w:jc w:val="both"/>
        <w:rPr>
          <w:b/>
          <w:bCs/>
          <w:sz w:val="22"/>
          <w:szCs w:val="22"/>
        </w:rPr>
      </w:pPr>
    </w:p>
    <w:p w14:paraId="77764279" w14:textId="374C8257" w:rsidR="002F470A" w:rsidRDefault="002F470A" w:rsidP="002F4C44">
      <w:pPr>
        <w:jc w:val="both"/>
        <w:rPr>
          <w:b/>
          <w:sz w:val="24"/>
          <w:szCs w:val="24"/>
        </w:rPr>
      </w:pPr>
      <w:r w:rsidRPr="002F470A">
        <w:rPr>
          <w:b/>
          <w:sz w:val="24"/>
          <w:szCs w:val="24"/>
        </w:rPr>
        <w:t>5.1. Genel</w:t>
      </w:r>
    </w:p>
    <w:p w14:paraId="60478DDE" w14:textId="3F0BE1DB" w:rsidR="00300EE3" w:rsidRPr="00C10913" w:rsidRDefault="002F470A" w:rsidP="00C10913">
      <w:pPr>
        <w:spacing w:line="360" w:lineRule="auto"/>
        <w:jc w:val="both"/>
        <w:rPr>
          <w:color w:val="000000" w:themeColor="text1"/>
          <w:sz w:val="22"/>
          <w:szCs w:val="22"/>
        </w:rPr>
      </w:pPr>
      <w:r w:rsidRPr="002F470A">
        <w:rPr>
          <w:sz w:val="24"/>
          <w:szCs w:val="24"/>
        </w:rPr>
        <w:t xml:space="preserve">İlgili yönetmelik ve yönergeler </w:t>
      </w:r>
      <w:r w:rsidRPr="00C10913">
        <w:rPr>
          <w:color w:val="000000" w:themeColor="text1"/>
          <w:sz w:val="22"/>
          <w:szCs w:val="22"/>
        </w:rPr>
        <w:t>çerçevesinde, Üniversitemiz kütüphanesinin bütün materyalinin (kitap, süreli yayın, tez, broşür, görsel-işitsel gereçleri, elektronik veri tabanla</w:t>
      </w:r>
      <w:r w:rsidR="00365148" w:rsidRPr="00C10913">
        <w:rPr>
          <w:color w:val="000000" w:themeColor="text1"/>
          <w:sz w:val="22"/>
          <w:szCs w:val="22"/>
        </w:rPr>
        <w:t>rı vb.) seçim ve sağlama,</w:t>
      </w:r>
      <w:r w:rsidRPr="00C10913">
        <w:rPr>
          <w:color w:val="000000" w:themeColor="text1"/>
          <w:sz w:val="22"/>
          <w:szCs w:val="22"/>
        </w:rPr>
        <w:t xml:space="preserve"> sa</w:t>
      </w:r>
      <w:r w:rsidR="00365148" w:rsidRPr="00C10913">
        <w:rPr>
          <w:color w:val="000000" w:themeColor="text1"/>
          <w:sz w:val="22"/>
          <w:szCs w:val="22"/>
        </w:rPr>
        <w:t xml:space="preserve">tın alma (mal ve </w:t>
      </w:r>
      <w:r w:rsidR="00365148" w:rsidRPr="00C10913">
        <w:rPr>
          <w:color w:val="000000" w:themeColor="text1"/>
          <w:sz w:val="22"/>
          <w:szCs w:val="22"/>
        </w:rPr>
        <w:lastRenderedPageBreak/>
        <w:t>hizmet)</w:t>
      </w:r>
      <w:r w:rsidRPr="00C10913">
        <w:rPr>
          <w:color w:val="000000" w:themeColor="text1"/>
          <w:sz w:val="22"/>
          <w:szCs w:val="22"/>
        </w:rPr>
        <w:t xml:space="preserve"> ihale yoluyla yapılacak alım i</w:t>
      </w:r>
      <w:r w:rsidR="00365148" w:rsidRPr="00C10913">
        <w:rPr>
          <w:color w:val="000000" w:themeColor="text1"/>
          <w:sz w:val="22"/>
          <w:szCs w:val="22"/>
        </w:rPr>
        <w:t>şlemleri</w:t>
      </w:r>
      <w:r w:rsidRPr="00C10913">
        <w:rPr>
          <w:color w:val="000000" w:themeColor="text1"/>
          <w:sz w:val="22"/>
          <w:szCs w:val="22"/>
        </w:rPr>
        <w:t>, kütüphane otomasyo</w:t>
      </w:r>
      <w:r w:rsidR="00365148" w:rsidRPr="00C10913">
        <w:rPr>
          <w:color w:val="000000" w:themeColor="text1"/>
          <w:sz w:val="22"/>
          <w:szCs w:val="22"/>
        </w:rPr>
        <w:t>n ve güvenlik sistemi ile</w:t>
      </w:r>
      <w:r w:rsidRPr="00C10913">
        <w:rPr>
          <w:color w:val="000000" w:themeColor="text1"/>
          <w:sz w:val="22"/>
          <w:szCs w:val="22"/>
        </w:rPr>
        <w:t xml:space="preserve"> kataloglama ve sınıflandırma süreçlerinin uygulama </w:t>
      </w:r>
      <w:r w:rsidR="00365148" w:rsidRPr="00C10913">
        <w:rPr>
          <w:color w:val="000000" w:themeColor="text1"/>
          <w:sz w:val="22"/>
          <w:szCs w:val="22"/>
        </w:rPr>
        <w:t>usul</w:t>
      </w:r>
      <w:r w:rsidRPr="00C10913">
        <w:rPr>
          <w:color w:val="000000" w:themeColor="text1"/>
          <w:sz w:val="22"/>
          <w:szCs w:val="22"/>
        </w:rPr>
        <w:t xml:space="preserve"> ve esaslarını düzenlemektedir.</w:t>
      </w:r>
    </w:p>
    <w:p w14:paraId="2CE1E813" w14:textId="77777777" w:rsidR="002F470A" w:rsidRPr="00C10913" w:rsidRDefault="002F470A" w:rsidP="00C10913">
      <w:pPr>
        <w:spacing w:line="360" w:lineRule="auto"/>
        <w:jc w:val="both"/>
        <w:rPr>
          <w:color w:val="000000" w:themeColor="text1"/>
          <w:sz w:val="22"/>
          <w:szCs w:val="22"/>
        </w:rPr>
      </w:pPr>
    </w:p>
    <w:p w14:paraId="74B1A484" w14:textId="39205AF3" w:rsidR="00300EE3" w:rsidRPr="00C10913" w:rsidRDefault="00300EE3" w:rsidP="00C10913">
      <w:pPr>
        <w:spacing w:line="360" w:lineRule="auto"/>
        <w:jc w:val="both"/>
        <w:rPr>
          <w:b/>
          <w:bCs/>
          <w:color w:val="000000" w:themeColor="text1"/>
          <w:sz w:val="22"/>
          <w:szCs w:val="22"/>
        </w:rPr>
      </w:pPr>
      <w:r w:rsidRPr="00C10913">
        <w:rPr>
          <w:b/>
          <w:bCs/>
          <w:color w:val="000000" w:themeColor="text1"/>
          <w:sz w:val="22"/>
          <w:szCs w:val="22"/>
        </w:rPr>
        <w:t>5.</w:t>
      </w:r>
      <w:r w:rsidR="002F470A" w:rsidRPr="00C10913">
        <w:rPr>
          <w:b/>
          <w:bCs/>
          <w:color w:val="000000" w:themeColor="text1"/>
          <w:sz w:val="22"/>
          <w:szCs w:val="22"/>
        </w:rPr>
        <w:t>2</w:t>
      </w:r>
      <w:r w:rsidR="00240FD3" w:rsidRPr="00C10913">
        <w:rPr>
          <w:b/>
          <w:bCs/>
          <w:color w:val="000000" w:themeColor="text1"/>
          <w:sz w:val="22"/>
          <w:szCs w:val="22"/>
        </w:rPr>
        <w:t>.</w:t>
      </w:r>
      <w:r w:rsidRPr="00C10913">
        <w:rPr>
          <w:b/>
          <w:bCs/>
          <w:color w:val="000000" w:themeColor="text1"/>
          <w:sz w:val="22"/>
          <w:szCs w:val="22"/>
        </w:rPr>
        <w:t xml:space="preserve"> İhale Yoluyla Yapılacak Alım İşlemleri Süreci</w:t>
      </w:r>
    </w:p>
    <w:p w14:paraId="13336375" w14:textId="2042AE2B" w:rsidR="00300EE3" w:rsidRDefault="00300EE3" w:rsidP="00C10913">
      <w:pPr>
        <w:spacing w:line="360" w:lineRule="auto"/>
        <w:jc w:val="both"/>
        <w:rPr>
          <w:color w:val="000000" w:themeColor="text1"/>
          <w:sz w:val="22"/>
          <w:szCs w:val="22"/>
        </w:rPr>
      </w:pPr>
      <w:r w:rsidRPr="00C10913">
        <w:rPr>
          <w:color w:val="000000" w:themeColor="text1"/>
          <w:sz w:val="22"/>
          <w:szCs w:val="22"/>
        </w:rPr>
        <w:t>İhale yoluyla temini sağlanacak yayınlar için Teknik Şartname ve maliyeti etkileyecek</w:t>
      </w:r>
      <w:r w:rsidR="009D1804" w:rsidRPr="00C10913">
        <w:rPr>
          <w:color w:val="000000" w:themeColor="text1"/>
          <w:sz w:val="22"/>
          <w:szCs w:val="22"/>
        </w:rPr>
        <w:t xml:space="preserve"> </w:t>
      </w:r>
      <w:r w:rsidRPr="00C10913">
        <w:rPr>
          <w:color w:val="000000" w:themeColor="text1"/>
          <w:sz w:val="22"/>
          <w:szCs w:val="22"/>
        </w:rPr>
        <w:t>diğer unsurların belgeleri düzenlenir. Sağlanacak yayınların yaklaşık maliyeti tespit edilir. İhale şekline karar verilir.</w:t>
      </w:r>
      <w:r w:rsidR="00E633BC" w:rsidRPr="00C10913">
        <w:rPr>
          <w:color w:val="000000" w:themeColor="text1"/>
          <w:sz w:val="22"/>
          <w:szCs w:val="22"/>
        </w:rPr>
        <w:t xml:space="preserve"> </w:t>
      </w:r>
      <w:r w:rsidRPr="00C10913">
        <w:rPr>
          <w:color w:val="000000" w:themeColor="text1"/>
          <w:sz w:val="22"/>
          <w:szCs w:val="22"/>
        </w:rPr>
        <w:t>İhale Onay Belgesi düzenlenir. KİK’</w:t>
      </w:r>
      <w:r w:rsidR="00E633BC" w:rsidRPr="00C10913">
        <w:rPr>
          <w:color w:val="000000" w:themeColor="text1"/>
          <w:sz w:val="22"/>
          <w:szCs w:val="22"/>
        </w:rPr>
        <w:t xml:space="preserve"> </w:t>
      </w:r>
      <w:r w:rsidRPr="00C10913">
        <w:rPr>
          <w:color w:val="000000" w:themeColor="text1"/>
          <w:sz w:val="22"/>
          <w:szCs w:val="22"/>
        </w:rPr>
        <w:t>den ihale kayıt numarası alınır, ihale dokümanını</w:t>
      </w:r>
      <w:r w:rsidR="009D1804" w:rsidRPr="00C10913">
        <w:rPr>
          <w:color w:val="000000" w:themeColor="text1"/>
          <w:sz w:val="22"/>
          <w:szCs w:val="22"/>
        </w:rPr>
        <w:t xml:space="preserve"> </w:t>
      </w:r>
      <w:r w:rsidRPr="00C10913">
        <w:rPr>
          <w:color w:val="000000" w:themeColor="text1"/>
          <w:sz w:val="22"/>
          <w:szCs w:val="22"/>
        </w:rPr>
        <w:t>oluşturacak İdari ve Teknik Şartname, Sözleşme Tasarısı, İlan Metni ve varsa diğer dokümanlarda ilgili mevzuata uygun olarak hazırlanır ve İhale Onay Belgesine eklenir.</w:t>
      </w:r>
      <w:r w:rsidR="00E633BC" w:rsidRPr="00C10913">
        <w:rPr>
          <w:color w:val="000000" w:themeColor="text1"/>
          <w:sz w:val="22"/>
          <w:szCs w:val="22"/>
        </w:rPr>
        <w:t xml:space="preserve"> </w:t>
      </w:r>
      <w:r w:rsidRPr="00C10913">
        <w:rPr>
          <w:color w:val="000000" w:themeColor="text1"/>
          <w:sz w:val="22"/>
          <w:szCs w:val="22"/>
        </w:rPr>
        <w:t>Onay Belgesi, Gerçekleştirme Görevlisi tarafından kontrol edilerek imzalandıktan sonra</w:t>
      </w:r>
      <w:r w:rsidR="009D1804" w:rsidRPr="00C10913">
        <w:rPr>
          <w:color w:val="000000" w:themeColor="text1"/>
          <w:sz w:val="22"/>
          <w:szCs w:val="22"/>
        </w:rPr>
        <w:t xml:space="preserve"> </w:t>
      </w:r>
      <w:r w:rsidRPr="00C10913">
        <w:rPr>
          <w:color w:val="000000" w:themeColor="text1"/>
          <w:sz w:val="22"/>
          <w:szCs w:val="22"/>
        </w:rPr>
        <w:t>harcama yetkilisince de kontrol edilerek imzalanır.</w:t>
      </w:r>
      <w:r w:rsidR="00E633BC" w:rsidRPr="00C10913">
        <w:rPr>
          <w:color w:val="000000" w:themeColor="text1"/>
          <w:sz w:val="22"/>
          <w:szCs w:val="22"/>
        </w:rPr>
        <w:t xml:space="preserve"> </w:t>
      </w:r>
      <w:r w:rsidRPr="00C10913">
        <w:rPr>
          <w:color w:val="000000" w:themeColor="text1"/>
          <w:sz w:val="22"/>
          <w:szCs w:val="22"/>
        </w:rPr>
        <w:t xml:space="preserve"> İhale usulüne göre ihale ilanı yayımlanır.</w:t>
      </w:r>
      <w:r w:rsidR="00E633BC" w:rsidRPr="00C10913">
        <w:rPr>
          <w:color w:val="000000" w:themeColor="text1"/>
          <w:sz w:val="22"/>
          <w:szCs w:val="22"/>
        </w:rPr>
        <w:t xml:space="preserve"> </w:t>
      </w:r>
      <w:r w:rsidRPr="00C10913">
        <w:rPr>
          <w:color w:val="000000" w:themeColor="text1"/>
          <w:sz w:val="22"/>
          <w:szCs w:val="22"/>
        </w:rPr>
        <w:t>İhale yetkilisi tarafından İhale Komisyonu, asıl ve yedek üyelerle birlikte oluşturulur. İhale Dokümanı idarede bedelsiz olarak görülebilir ancak ihaleye katılmak isteyen</w:t>
      </w:r>
      <w:r w:rsidR="009D1804" w:rsidRPr="00C10913">
        <w:rPr>
          <w:color w:val="000000" w:themeColor="text1"/>
          <w:sz w:val="22"/>
          <w:szCs w:val="22"/>
        </w:rPr>
        <w:t xml:space="preserve"> </w:t>
      </w:r>
      <w:r w:rsidRPr="00C10913">
        <w:rPr>
          <w:color w:val="000000" w:themeColor="text1"/>
          <w:sz w:val="22"/>
          <w:szCs w:val="22"/>
        </w:rPr>
        <w:t>isteklilere İhale İlanı Dosyası bedeli karşılığı satılır. İhale tarihinde İdare Görevlisi tarafından ihaleye katılacak olan isteklilere ait teklif</w:t>
      </w:r>
      <w:r w:rsidR="009D1804" w:rsidRPr="00C10913">
        <w:rPr>
          <w:color w:val="000000" w:themeColor="text1"/>
          <w:sz w:val="22"/>
          <w:szCs w:val="22"/>
        </w:rPr>
        <w:t xml:space="preserve"> </w:t>
      </w:r>
      <w:r w:rsidRPr="00C10913">
        <w:rPr>
          <w:color w:val="000000" w:themeColor="text1"/>
          <w:sz w:val="22"/>
          <w:szCs w:val="22"/>
        </w:rPr>
        <w:t>zarfları sıra numarası verilerek alınır ve ilgili standart formlar düzenlenerek İhale Komisyonuna</w:t>
      </w:r>
      <w:r w:rsidR="009D1804" w:rsidRPr="00C10913">
        <w:rPr>
          <w:color w:val="000000" w:themeColor="text1"/>
          <w:sz w:val="22"/>
          <w:szCs w:val="22"/>
        </w:rPr>
        <w:t xml:space="preserve"> </w:t>
      </w:r>
      <w:r w:rsidRPr="00C10913">
        <w:rPr>
          <w:color w:val="000000" w:themeColor="text1"/>
          <w:sz w:val="22"/>
          <w:szCs w:val="22"/>
        </w:rPr>
        <w:t>teslim edilir</w:t>
      </w:r>
      <w:r w:rsidR="00E633BC" w:rsidRPr="00C10913">
        <w:rPr>
          <w:color w:val="000000" w:themeColor="text1"/>
          <w:sz w:val="22"/>
          <w:szCs w:val="22"/>
        </w:rPr>
        <w:t>.</w:t>
      </w:r>
      <w:r w:rsidRPr="00C10913">
        <w:rPr>
          <w:color w:val="000000" w:themeColor="text1"/>
          <w:sz w:val="22"/>
          <w:szCs w:val="22"/>
        </w:rPr>
        <w:t xml:space="preserve"> İhale ilanında belirtilen yer ve saatte ihale gerçekleştirilir. İhale Komisyonu tarafından, kanunun 36,37 ve 38. maddelerine göre teklifler açılır ve</w:t>
      </w:r>
      <w:r w:rsidR="009D1804" w:rsidRPr="00C10913">
        <w:rPr>
          <w:color w:val="000000" w:themeColor="text1"/>
          <w:sz w:val="22"/>
          <w:szCs w:val="22"/>
        </w:rPr>
        <w:t xml:space="preserve"> </w:t>
      </w:r>
      <w:r w:rsidRPr="00C10913">
        <w:rPr>
          <w:color w:val="000000" w:themeColor="text1"/>
          <w:sz w:val="22"/>
          <w:szCs w:val="22"/>
        </w:rPr>
        <w:t>değerlendirilir. Yapılan değerlendirmede ihale, ekonomik açıdan en avantajlı teklifi veren firma</w:t>
      </w:r>
      <w:r w:rsidR="009D1804" w:rsidRPr="00C10913">
        <w:rPr>
          <w:color w:val="000000" w:themeColor="text1"/>
          <w:sz w:val="22"/>
          <w:szCs w:val="22"/>
        </w:rPr>
        <w:t xml:space="preserve"> </w:t>
      </w:r>
      <w:r w:rsidRPr="00C10913">
        <w:rPr>
          <w:color w:val="000000" w:themeColor="text1"/>
          <w:sz w:val="22"/>
          <w:szCs w:val="22"/>
        </w:rPr>
        <w:t>yetkilisine bırakılır. İhale Komisyonunun gerekçeli kararı, kanun ve ilgili mevzuata göre</w:t>
      </w:r>
      <w:r w:rsidR="009D1804" w:rsidRPr="00C10913">
        <w:rPr>
          <w:color w:val="000000" w:themeColor="text1"/>
          <w:sz w:val="22"/>
          <w:szCs w:val="22"/>
        </w:rPr>
        <w:t xml:space="preserve"> </w:t>
      </w:r>
      <w:r w:rsidRPr="00C10913">
        <w:rPr>
          <w:color w:val="000000" w:themeColor="text1"/>
          <w:sz w:val="22"/>
          <w:szCs w:val="22"/>
        </w:rPr>
        <w:t>düzenlenip, komisyon üyeleri tarafından imzalanır. Daha sonra, ihale üzerinde kalan firma yetkilisinin kanunun 58. Maddesine göre yasaklı olup olmadığı teyit ettirilerek buna ilişkin KİK</w:t>
      </w:r>
      <w:r w:rsidR="00410679" w:rsidRPr="00C10913">
        <w:rPr>
          <w:color w:val="000000" w:themeColor="text1"/>
          <w:sz w:val="22"/>
          <w:szCs w:val="22"/>
        </w:rPr>
        <w:t xml:space="preserve"> </w:t>
      </w:r>
      <w:r w:rsidRPr="00C10913">
        <w:rPr>
          <w:color w:val="000000" w:themeColor="text1"/>
          <w:sz w:val="22"/>
          <w:szCs w:val="22"/>
        </w:rPr>
        <w:t>Belgesi karara eklenir ve İhale Yetkilisinin onayına sunulur. İhale Yetkilisi, karar tarihini izleyen en geç beş işgünü içinde İhale Kararını onaylar ya da</w:t>
      </w:r>
      <w:r w:rsidR="009D1804" w:rsidRPr="00C10913">
        <w:rPr>
          <w:color w:val="000000" w:themeColor="text1"/>
          <w:sz w:val="22"/>
          <w:szCs w:val="22"/>
        </w:rPr>
        <w:t xml:space="preserve"> </w:t>
      </w:r>
      <w:r w:rsidRPr="00C10913">
        <w:rPr>
          <w:color w:val="000000" w:themeColor="text1"/>
          <w:sz w:val="22"/>
          <w:szCs w:val="22"/>
        </w:rPr>
        <w:t>gerekçesini açıkça belirtmek suretiyle kararı iptal eder. Kanunun 41. Maddesine göre kesinleşen İhale Kararı, onayı izleyen en geç üç gün içinde</w:t>
      </w:r>
      <w:r w:rsidR="009D1804" w:rsidRPr="00C10913">
        <w:rPr>
          <w:color w:val="000000" w:themeColor="text1"/>
          <w:sz w:val="22"/>
          <w:szCs w:val="22"/>
        </w:rPr>
        <w:t xml:space="preserve"> </w:t>
      </w:r>
      <w:r w:rsidRPr="00C10913">
        <w:rPr>
          <w:color w:val="000000" w:themeColor="text1"/>
          <w:sz w:val="22"/>
          <w:szCs w:val="22"/>
        </w:rPr>
        <w:t>ihaleye teklif veren bütün firma yetkililerine imza karşılığı tebliğ edilir veya iadeli taahhütlü</w:t>
      </w:r>
      <w:r w:rsidR="009D1804" w:rsidRPr="00C10913">
        <w:rPr>
          <w:color w:val="000000" w:themeColor="text1"/>
          <w:sz w:val="22"/>
          <w:szCs w:val="22"/>
        </w:rPr>
        <w:t xml:space="preserve"> </w:t>
      </w:r>
      <w:r w:rsidRPr="00C10913">
        <w:rPr>
          <w:color w:val="000000" w:themeColor="text1"/>
          <w:sz w:val="22"/>
          <w:szCs w:val="22"/>
        </w:rPr>
        <w:t>postalanır. Harcama Yetkilisince ihale üzerinde kalan firma yetkilisi sözleşmeye davet edilir. Firma</w:t>
      </w:r>
      <w:r w:rsidR="009D1804" w:rsidRPr="00C10913">
        <w:rPr>
          <w:color w:val="000000" w:themeColor="text1"/>
          <w:sz w:val="22"/>
          <w:szCs w:val="22"/>
        </w:rPr>
        <w:t xml:space="preserve"> </w:t>
      </w:r>
      <w:r w:rsidRPr="00C10913">
        <w:rPr>
          <w:color w:val="000000" w:themeColor="text1"/>
          <w:sz w:val="22"/>
          <w:szCs w:val="22"/>
        </w:rPr>
        <w:t>yetkilisi Kesin Teminat Karar Pulu bedeli ve damga vergisini yatırır, sözleşme imzalanır. İhale üzerinde kalan firma yetkilisinin kesin teminatı yatırmayıp sözleşmeyi</w:t>
      </w:r>
      <w:r w:rsidR="009D1804" w:rsidRPr="00C10913">
        <w:rPr>
          <w:color w:val="000000" w:themeColor="text1"/>
          <w:sz w:val="22"/>
          <w:szCs w:val="22"/>
        </w:rPr>
        <w:t xml:space="preserve"> </w:t>
      </w:r>
      <w:r w:rsidRPr="00C10913">
        <w:rPr>
          <w:color w:val="000000" w:themeColor="text1"/>
          <w:sz w:val="22"/>
          <w:szCs w:val="22"/>
        </w:rPr>
        <w:t>imzalamaması durumunda herhangi bir işlem yapmaksızın geçici teminatı gelir kaydedilir. Bu</w:t>
      </w:r>
      <w:r w:rsidR="009D1804" w:rsidRPr="00C10913">
        <w:rPr>
          <w:color w:val="000000" w:themeColor="text1"/>
          <w:sz w:val="22"/>
          <w:szCs w:val="22"/>
        </w:rPr>
        <w:t xml:space="preserve"> </w:t>
      </w:r>
      <w:r w:rsidRPr="00C10913">
        <w:rPr>
          <w:color w:val="000000" w:themeColor="text1"/>
          <w:sz w:val="22"/>
          <w:szCs w:val="22"/>
        </w:rPr>
        <w:t>durumda ekonomik açıdan en avantajlı ikinci teklif fiyatının ihale yetkilisince uygun görülmesi</w:t>
      </w:r>
      <w:r w:rsidR="009D1804" w:rsidRPr="00C10913">
        <w:rPr>
          <w:color w:val="000000" w:themeColor="text1"/>
          <w:sz w:val="22"/>
          <w:szCs w:val="22"/>
        </w:rPr>
        <w:t xml:space="preserve"> </w:t>
      </w:r>
      <w:r w:rsidRPr="00C10913">
        <w:rPr>
          <w:color w:val="000000" w:themeColor="text1"/>
          <w:sz w:val="22"/>
          <w:szCs w:val="22"/>
        </w:rPr>
        <w:t>kaydıyla ve belirtilen süreler içinde gerekli tebligatlar yapılmak suretiyle bu firma yetkilisiyle</w:t>
      </w:r>
      <w:r w:rsidR="009D1804" w:rsidRPr="00C10913">
        <w:rPr>
          <w:color w:val="000000" w:themeColor="text1"/>
          <w:sz w:val="22"/>
          <w:szCs w:val="22"/>
        </w:rPr>
        <w:t xml:space="preserve"> </w:t>
      </w:r>
      <w:r w:rsidRPr="00C10913">
        <w:rPr>
          <w:color w:val="000000" w:themeColor="text1"/>
          <w:sz w:val="22"/>
          <w:szCs w:val="22"/>
        </w:rPr>
        <w:t>sözleşme yapılabilir. İhale konusu mal ve hizmet alımı işinin muayene ve kabulü, Muayene Kabul Komisyonu</w:t>
      </w:r>
      <w:r w:rsidR="009D1804" w:rsidRPr="00C10913">
        <w:rPr>
          <w:color w:val="000000" w:themeColor="text1"/>
          <w:sz w:val="22"/>
          <w:szCs w:val="22"/>
        </w:rPr>
        <w:t xml:space="preserve"> </w:t>
      </w:r>
      <w:r w:rsidRPr="00C10913">
        <w:rPr>
          <w:color w:val="000000" w:themeColor="text1"/>
          <w:sz w:val="22"/>
          <w:szCs w:val="22"/>
        </w:rPr>
        <w:t>tarafından gerçekleştirilir. Mal alımlarında ilgili mevzuata göre ambar kayıt işlemleri yapılarak TİF düzenlenir. Belgelerle birlikte ÖEB düzenlenerek Gerçekleştirme Yetkilisine gönderilir. Gerçekleştirme Görevlisi tarafından ÖEB imzalanır ve Harcama Yetkilisine gönderilir. Dosya SGDB’ ye gönderilir.</w:t>
      </w:r>
    </w:p>
    <w:p w14:paraId="02C40E60" w14:textId="77777777" w:rsidR="00C10913" w:rsidRPr="00C10913" w:rsidRDefault="00C10913" w:rsidP="00C10913">
      <w:pPr>
        <w:spacing w:line="360" w:lineRule="auto"/>
        <w:jc w:val="both"/>
        <w:rPr>
          <w:color w:val="000000" w:themeColor="text1"/>
          <w:sz w:val="22"/>
          <w:szCs w:val="22"/>
        </w:rPr>
      </w:pPr>
    </w:p>
    <w:p w14:paraId="4CBB9573" w14:textId="0D747F0F" w:rsidR="00300EE3" w:rsidRPr="00C10913" w:rsidRDefault="002F470A" w:rsidP="00C10913">
      <w:pPr>
        <w:spacing w:line="360" w:lineRule="auto"/>
        <w:jc w:val="both"/>
        <w:rPr>
          <w:b/>
          <w:bCs/>
          <w:color w:val="000000" w:themeColor="text1"/>
          <w:sz w:val="22"/>
          <w:szCs w:val="22"/>
        </w:rPr>
      </w:pPr>
      <w:r w:rsidRPr="00C10913">
        <w:rPr>
          <w:b/>
          <w:bCs/>
          <w:color w:val="000000" w:themeColor="text1"/>
          <w:sz w:val="22"/>
          <w:szCs w:val="22"/>
        </w:rPr>
        <w:t>5.3</w:t>
      </w:r>
      <w:r w:rsidR="00300EE3" w:rsidRPr="00C10913">
        <w:rPr>
          <w:b/>
          <w:bCs/>
          <w:color w:val="000000" w:themeColor="text1"/>
          <w:sz w:val="22"/>
          <w:szCs w:val="22"/>
        </w:rPr>
        <w:t>. Kütüphane Otomasyon ve Güvenlik Sistemi İş Süreci</w:t>
      </w:r>
    </w:p>
    <w:p w14:paraId="7126AEE0" w14:textId="37999690" w:rsidR="00300EE3" w:rsidRPr="00C10913" w:rsidRDefault="00300EE3" w:rsidP="00C10913">
      <w:pPr>
        <w:spacing w:line="360" w:lineRule="auto"/>
        <w:jc w:val="both"/>
        <w:rPr>
          <w:color w:val="000000" w:themeColor="text1"/>
          <w:sz w:val="22"/>
          <w:szCs w:val="22"/>
        </w:rPr>
      </w:pPr>
      <w:r w:rsidRPr="00C10913">
        <w:rPr>
          <w:color w:val="000000" w:themeColor="text1"/>
          <w:sz w:val="22"/>
          <w:szCs w:val="22"/>
        </w:rPr>
        <w:lastRenderedPageBreak/>
        <w:t>Otomasyon ve Açık Erişim Sistemleri</w:t>
      </w:r>
      <w:r w:rsidR="00240FD3" w:rsidRPr="00C10913">
        <w:rPr>
          <w:color w:val="000000" w:themeColor="text1"/>
          <w:sz w:val="22"/>
          <w:szCs w:val="22"/>
        </w:rPr>
        <w:t xml:space="preserve"> ile </w:t>
      </w:r>
      <w:r w:rsidRPr="00C10913">
        <w:rPr>
          <w:color w:val="000000" w:themeColor="text1"/>
          <w:sz w:val="22"/>
          <w:szCs w:val="22"/>
        </w:rPr>
        <w:t>Otomasyon ve güvenlik sistemi</w:t>
      </w:r>
      <w:r w:rsidR="007D5751" w:rsidRPr="00C10913">
        <w:rPr>
          <w:color w:val="000000" w:themeColor="text1"/>
          <w:sz w:val="22"/>
          <w:szCs w:val="22"/>
        </w:rPr>
        <w:t xml:space="preserve"> </w:t>
      </w:r>
      <w:r w:rsidRPr="00C10913">
        <w:rPr>
          <w:color w:val="000000" w:themeColor="text1"/>
          <w:sz w:val="22"/>
          <w:szCs w:val="22"/>
        </w:rPr>
        <w:t>günlük olarak kontrol edilir. Problem olup olmadığı tespit edilir. Problemler BİDB ve/veya firma ile yapılan koordinasyonla giderilir.</w:t>
      </w:r>
    </w:p>
    <w:p w14:paraId="548D3FC4" w14:textId="77777777" w:rsidR="00300EE3" w:rsidRPr="00C10913" w:rsidRDefault="00300EE3" w:rsidP="00C10913">
      <w:pPr>
        <w:spacing w:line="360" w:lineRule="auto"/>
        <w:jc w:val="both"/>
        <w:rPr>
          <w:color w:val="000000" w:themeColor="text1"/>
          <w:sz w:val="22"/>
          <w:szCs w:val="22"/>
        </w:rPr>
      </w:pPr>
    </w:p>
    <w:p w14:paraId="740FCC72" w14:textId="61882804" w:rsidR="00300EE3" w:rsidRPr="00C10913" w:rsidRDefault="002F470A" w:rsidP="00C10913">
      <w:pPr>
        <w:spacing w:line="360" w:lineRule="auto"/>
        <w:jc w:val="both"/>
        <w:rPr>
          <w:b/>
          <w:bCs/>
          <w:color w:val="000000" w:themeColor="text1"/>
          <w:sz w:val="22"/>
          <w:szCs w:val="22"/>
        </w:rPr>
      </w:pPr>
      <w:r w:rsidRPr="00C10913">
        <w:rPr>
          <w:b/>
          <w:bCs/>
          <w:color w:val="000000" w:themeColor="text1"/>
          <w:sz w:val="22"/>
          <w:szCs w:val="22"/>
        </w:rPr>
        <w:t>5.4</w:t>
      </w:r>
      <w:r w:rsidR="00240FD3" w:rsidRPr="00C10913">
        <w:rPr>
          <w:b/>
          <w:bCs/>
          <w:color w:val="000000" w:themeColor="text1"/>
          <w:sz w:val="22"/>
          <w:szCs w:val="22"/>
        </w:rPr>
        <w:t>.</w:t>
      </w:r>
      <w:r w:rsidR="00300EE3" w:rsidRPr="00C10913">
        <w:rPr>
          <w:b/>
          <w:bCs/>
          <w:color w:val="000000" w:themeColor="text1"/>
          <w:sz w:val="22"/>
          <w:szCs w:val="22"/>
        </w:rPr>
        <w:t>Kataloglama ve Sınıflandırma Süreci</w:t>
      </w:r>
    </w:p>
    <w:p w14:paraId="1F0BB718" w14:textId="101C66B4" w:rsidR="00D713C0" w:rsidRPr="00C10913" w:rsidRDefault="00300EE3" w:rsidP="00C10913">
      <w:pPr>
        <w:spacing w:line="360" w:lineRule="auto"/>
        <w:jc w:val="both"/>
        <w:rPr>
          <w:color w:val="000000" w:themeColor="text1"/>
          <w:sz w:val="22"/>
          <w:szCs w:val="22"/>
        </w:rPr>
      </w:pPr>
      <w:r w:rsidRPr="00C10913">
        <w:rPr>
          <w:color w:val="000000" w:themeColor="text1"/>
          <w:sz w:val="22"/>
          <w:szCs w:val="22"/>
        </w:rPr>
        <w:t>Satın alma/bağış yoluyla temini sağlanan materyalin içerik, kullanılabilirlik ve fiziki</w:t>
      </w:r>
      <w:r w:rsidR="009D1804" w:rsidRPr="00C10913">
        <w:rPr>
          <w:color w:val="000000" w:themeColor="text1"/>
          <w:sz w:val="22"/>
          <w:szCs w:val="22"/>
        </w:rPr>
        <w:t xml:space="preserve"> </w:t>
      </w:r>
      <w:r w:rsidRPr="00C10913">
        <w:rPr>
          <w:color w:val="000000" w:themeColor="text1"/>
          <w:sz w:val="22"/>
          <w:szCs w:val="22"/>
        </w:rPr>
        <w:t>şartları itibari ile kütüphane koleksiyonuna girmeye uygun olup olmadığı kontrol edilir. Bağış</w:t>
      </w:r>
      <w:r w:rsidR="009D1804" w:rsidRPr="00C10913">
        <w:rPr>
          <w:color w:val="000000" w:themeColor="text1"/>
          <w:sz w:val="22"/>
          <w:szCs w:val="22"/>
        </w:rPr>
        <w:t xml:space="preserve"> </w:t>
      </w:r>
      <w:r w:rsidRPr="00C10913">
        <w:rPr>
          <w:color w:val="000000" w:themeColor="text1"/>
          <w:sz w:val="22"/>
          <w:szCs w:val="22"/>
        </w:rPr>
        <w:t>yoluyla gelen yay</w:t>
      </w:r>
      <w:r w:rsidR="007458FE" w:rsidRPr="00C10913">
        <w:rPr>
          <w:color w:val="000000" w:themeColor="text1"/>
          <w:sz w:val="22"/>
          <w:szCs w:val="22"/>
        </w:rPr>
        <w:t>ınlar koleksiyona uygun değilse bağış isteyen diğer kurumlara veya geri dönüşüme</w:t>
      </w:r>
      <w:r w:rsidRPr="00C10913">
        <w:rPr>
          <w:color w:val="000000" w:themeColor="text1"/>
          <w:sz w:val="22"/>
          <w:szCs w:val="22"/>
        </w:rPr>
        <w:t xml:space="preserve"> gönderilir.</w:t>
      </w:r>
      <w:r w:rsidR="00D713C0" w:rsidRPr="00C10913">
        <w:rPr>
          <w:color w:val="000000" w:themeColor="text1"/>
          <w:sz w:val="22"/>
          <w:szCs w:val="22"/>
        </w:rPr>
        <w:t xml:space="preserve"> Gelen materyalin kütüphane koleksiyonunda bulunup bulunmadığı Otomasyon Programı</w:t>
      </w:r>
      <w:r w:rsidR="009D1804" w:rsidRPr="00C10913">
        <w:rPr>
          <w:color w:val="000000" w:themeColor="text1"/>
          <w:sz w:val="22"/>
          <w:szCs w:val="22"/>
        </w:rPr>
        <w:t xml:space="preserve"> </w:t>
      </w:r>
      <w:r w:rsidR="00D713C0" w:rsidRPr="00C10913">
        <w:rPr>
          <w:color w:val="000000" w:themeColor="text1"/>
          <w:sz w:val="22"/>
          <w:szCs w:val="22"/>
        </w:rPr>
        <w:t>üzerinden kontrol edilir. Yeni materyalin katalog kaydı AACR2’ye göre MARC formatında otomasyon</w:t>
      </w:r>
      <w:r w:rsidR="009D1804" w:rsidRPr="00C10913">
        <w:rPr>
          <w:color w:val="000000" w:themeColor="text1"/>
          <w:sz w:val="22"/>
          <w:szCs w:val="22"/>
        </w:rPr>
        <w:t xml:space="preserve"> </w:t>
      </w:r>
      <w:r w:rsidR="00D713C0" w:rsidRPr="00C10913">
        <w:rPr>
          <w:color w:val="000000" w:themeColor="text1"/>
          <w:sz w:val="22"/>
          <w:szCs w:val="22"/>
        </w:rPr>
        <w:t>programında yapılır. Dewey Onlu Sınıflama Sistemine göre konu numarası verilerek otomasyon programına</w:t>
      </w:r>
      <w:r w:rsidR="009D1804" w:rsidRPr="00C10913">
        <w:rPr>
          <w:color w:val="000000" w:themeColor="text1"/>
          <w:sz w:val="22"/>
          <w:szCs w:val="22"/>
        </w:rPr>
        <w:t xml:space="preserve"> </w:t>
      </w:r>
      <w:r w:rsidR="00D713C0" w:rsidRPr="00C10913">
        <w:rPr>
          <w:color w:val="000000" w:themeColor="text1"/>
          <w:sz w:val="22"/>
          <w:szCs w:val="22"/>
        </w:rPr>
        <w:t>kaydedilir. Okuyucuların hizmetine sunul</w:t>
      </w:r>
      <w:r w:rsidR="00A92635" w:rsidRPr="00C10913">
        <w:rPr>
          <w:color w:val="000000" w:themeColor="text1"/>
          <w:sz w:val="22"/>
          <w:szCs w:val="22"/>
        </w:rPr>
        <w:t>ur</w:t>
      </w:r>
      <w:r w:rsidR="00D713C0" w:rsidRPr="00C10913">
        <w:rPr>
          <w:color w:val="000000" w:themeColor="text1"/>
          <w:sz w:val="22"/>
          <w:szCs w:val="22"/>
        </w:rPr>
        <w:t>.</w:t>
      </w:r>
    </w:p>
    <w:p w14:paraId="10924E44" w14:textId="77777777" w:rsidR="00DE7F4B" w:rsidRPr="00C10913" w:rsidRDefault="00DE7F4B" w:rsidP="00C10913">
      <w:pPr>
        <w:spacing w:line="360" w:lineRule="auto"/>
        <w:jc w:val="both"/>
        <w:rPr>
          <w:color w:val="000000" w:themeColor="text1"/>
          <w:sz w:val="22"/>
          <w:szCs w:val="22"/>
        </w:rPr>
      </w:pPr>
    </w:p>
    <w:p w14:paraId="5FE91ADA" w14:textId="61EEE1B9" w:rsidR="00DE7F4B" w:rsidRPr="00C10913" w:rsidRDefault="00DE7F4B" w:rsidP="00C10913">
      <w:pPr>
        <w:spacing w:line="360" w:lineRule="auto"/>
        <w:jc w:val="both"/>
        <w:rPr>
          <w:b/>
          <w:bCs/>
          <w:color w:val="000000" w:themeColor="text1"/>
          <w:sz w:val="22"/>
          <w:szCs w:val="22"/>
        </w:rPr>
      </w:pPr>
      <w:r w:rsidRPr="00C10913">
        <w:rPr>
          <w:b/>
          <w:bCs/>
          <w:color w:val="000000" w:themeColor="text1"/>
          <w:sz w:val="22"/>
          <w:szCs w:val="22"/>
        </w:rPr>
        <w:t>5.</w:t>
      </w:r>
      <w:r w:rsidR="002F470A" w:rsidRPr="00C10913">
        <w:rPr>
          <w:b/>
          <w:bCs/>
          <w:color w:val="000000" w:themeColor="text1"/>
          <w:sz w:val="22"/>
          <w:szCs w:val="22"/>
        </w:rPr>
        <w:t>5</w:t>
      </w:r>
      <w:r w:rsidRPr="00C10913">
        <w:rPr>
          <w:b/>
          <w:bCs/>
          <w:color w:val="000000" w:themeColor="text1"/>
          <w:sz w:val="22"/>
          <w:szCs w:val="22"/>
        </w:rPr>
        <w:t>. Yayın Seçim Süreci</w:t>
      </w:r>
    </w:p>
    <w:p w14:paraId="0D0AB237" w14:textId="77777777" w:rsidR="00DE7F4B" w:rsidRPr="00C10913" w:rsidRDefault="00DE7F4B" w:rsidP="00C10913">
      <w:pPr>
        <w:spacing w:line="360" w:lineRule="auto"/>
        <w:jc w:val="both"/>
        <w:rPr>
          <w:color w:val="000000" w:themeColor="text1"/>
          <w:sz w:val="22"/>
          <w:szCs w:val="22"/>
        </w:rPr>
      </w:pPr>
      <w:r w:rsidRPr="00C10913">
        <w:rPr>
          <w:color w:val="000000" w:themeColor="text1"/>
          <w:sz w:val="22"/>
          <w:szCs w:val="22"/>
        </w:rPr>
        <w:t>Yayın seçim sürecinde kütüphane ve birim/bireyler tarafından talep edilen yayınlar belirlenir. Katalog ve veri tabanı kontrolü yapılır. Satın alma listesine eklenir ve liste oluşturulur. Yayın sağlama süreci başlatılır.</w:t>
      </w:r>
    </w:p>
    <w:p w14:paraId="6E639C34" w14:textId="77777777" w:rsidR="00DE7F4B" w:rsidRPr="00C10913" w:rsidRDefault="00DE7F4B" w:rsidP="00C10913">
      <w:pPr>
        <w:spacing w:line="360" w:lineRule="auto"/>
        <w:jc w:val="both"/>
        <w:rPr>
          <w:color w:val="000000" w:themeColor="text1"/>
          <w:sz w:val="22"/>
          <w:szCs w:val="22"/>
        </w:rPr>
      </w:pPr>
    </w:p>
    <w:p w14:paraId="7E6C67E1" w14:textId="5501374A" w:rsidR="00DE7F4B" w:rsidRPr="00C10913" w:rsidRDefault="002F470A" w:rsidP="00C10913">
      <w:pPr>
        <w:spacing w:line="360" w:lineRule="auto"/>
        <w:jc w:val="both"/>
        <w:rPr>
          <w:b/>
          <w:bCs/>
          <w:color w:val="000000" w:themeColor="text1"/>
          <w:sz w:val="22"/>
          <w:szCs w:val="22"/>
        </w:rPr>
      </w:pPr>
      <w:r w:rsidRPr="00C10913">
        <w:rPr>
          <w:b/>
          <w:bCs/>
          <w:color w:val="000000" w:themeColor="text1"/>
          <w:sz w:val="22"/>
          <w:szCs w:val="22"/>
        </w:rPr>
        <w:t>5.6</w:t>
      </w:r>
      <w:r w:rsidR="00693A0A">
        <w:rPr>
          <w:b/>
          <w:bCs/>
          <w:color w:val="000000" w:themeColor="text1"/>
          <w:sz w:val="22"/>
          <w:szCs w:val="22"/>
        </w:rPr>
        <w:t>.</w:t>
      </w:r>
      <w:r w:rsidR="00DE7F4B" w:rsidRPr="00C10913">
        <w:rPr>
          <w:b/>
          <w:bCs/>
          <w:color w:val="000000" w:themeColor="text1"/>
          <w:sz w:val="22"/>
          <w:szCs w:val="22"/>
        </w:rPr>
        <w:t xml:space="preserve"> Yayın Sağlama Süreci</w:t>
      </w:r>
    </w:p>
    <w:p w14:paraId="0DFCCEFE" w14:textId="77777777" w:rsidR="00DE7F4B" w:rsidRPr="00C10913" w:rsidRDefault="00DE7F4B" w:rsidP="00C10913">
      <w:pPr>
        <w:spacing w:line="360" w:lineRule="auto"/>
        <w:jc w:val="both"/>
        <w:rPr>
          <w:color w:val="000000" w:themeColor="text1"/>
          <w:sz w:val="22"/>
          <w:szCs w:val="22"/>
        </w:rPr>
      </w:pPr>
      <w:r w:rsidRPr="00C10913">
        <w:rPr>
          <w:color w:val="000000" w:themeColor="text1"/>
          <w:sz w:val="22"/>
          <w:szCs w:val="22"/>
        </w:rPr>
        <w:t>Yayın sağlama işlemi için yayın listesi hazırlanır. Yayın sağlanması satın alma ve bağış yollarıyla yapılır. Satın alma işlemi Doğrudan Temin ve Açık İhale Usulüyle gerçekleştirilir. Satın alınacak yayınlar için piyasa araştırması yapılır. Satın alınan kitaplar kontrol edilerek teslim alınır. Bağış yoluyla gelen kitaplar kontrol edilir, kullanılabilir olan kitaplar yayın türüne göre kütüphane programına kaydedilerek raflara çıkarılıp hizmete sunulur. Yayınları bağışlayan kişi, kurum ve kuruluşlara teşekkür yazısı yazılır.</w:t>
      </w:r>
    </w:p>
    <w:p w14:paraId="369D95C7" w14:textId="77777777" w:rsidR="00DE7F4B" w:rsidRPr="00C10913" w:rsidRDefault="00DE7F4B" w:rsidP="00C10913">
      <w:pPr>
        <w:spacing w:line="360" w:lineRule="auto"/>
        <w:jc w:val="both"/>
        <w:rPr>
          <w:color w:val="000000" w:themeColor="text1"/>
          <w:sz w:val="22"/>
          <w:szCs w:val="22"/>
        </w:rPr>
      </w:pPr>
    </w:p>
    <w:p w14:paraId="5687D346" w14:textId="6CD930CB" w:rsidR="00DE7F4B" w:rsidRPr="00C10913" w:rsidRDefault="002F470A" w:rsidP="00C10913">
      <w:pPr>
        <w:spacing w:line="360" w:lineRule="auto"/>
        <w:jc w:val="both"/>
        <w:rPr>
          <w:b/>
          <w:bCs/>
          <w:color w:val="000000" w:themeColor="text1"/>
          <w:sz w:val="22"/>
          <w:szCs w:val="22"/>
        </w:rPr>
      </w:pPr>
      <w:r w:rsidRPr="00C10913">
        <w:rPr>
          <w:b/>
          <w:bCs/>
          <w:color w:val="000000" w:themeColor="text1"/>
          <w:sz w:val="22"/>
          <w:szCs w:val="22"/>
        </w:rPr>
        <w:t>5.7</w:t>
      </w:r>
      <w:r w:rsidR="00DE7F4B" w:rsidRPr="00C10913">
        <w:rPr>
          <w:b/>
          <w:bCs/>
          <w:color w:val="000000" w:themeColor="text1"/>
          <w:sz w:val="22"/>
          <w:szCs w:val="22"/>
        </w:rPr>
        <w:t>. Satın Alma (Mal ve Hizmet) Süreci</w:t>
      </w:r>
    </w:p>
    <w:p w14:paraId="588E7DE4" w14:textId="12552458" w:rsidR="00DE7F4B" w:rsidRPr="00C10913" w:rsidRDefault="00DE7F4B" w:rsidP="00C10913">
      <w:pPr>
        <w:spacing w:line="360" w:lineRule="auto"/>
        <w:jc w:val="both"/>
        <w:rPr>
          <w:color w:val="000000" w:themeColor="text1"/>
          <w:sz w:val="22"/>
          <w:szCs w:val="22"/>
        </w:rPr>
      </w:pPr>
      <w:r w:rsidRPr="00C10913">
        <w:rPr>
          <w:color w:val="000000" w:themeColor="text1"/>
          <w:sz w:val="22"/>
          <w:szCs w:val="22"/>
        </w:rPr>
        <w:t xml:space="preserve"> Satın alma sürecinde ihtiyaçlar tespit edilir, sipariş listesi oluşturulur. Mal/hizmet alımını gerçekleştirmek için bütçe kontrol edilerek piyasa fiyat araştırması yapılır ve aracı firmalardan fiyat teklifleri alınır. Alınan teklifler sonucunda en uygun teklif veren firmadan alım işi gerçekleştirilir. Satın alınan mal ve hizmetin kontrolleri fatura ve/veya sipariş listesine göre yapılarak hata, kusur veya eksik olup olmadığı kontrol edilir. Hata varsa firmaya iade edilir. Mali karar ve işlemlerin hızlanması, yüklenmeye girişilmesi, iş ve işlemlerin gerçekleştirilmesi ve belgelendirilmesi işlemleri yapılır.</w:t>
      </w:r>
      <w:r w:rsidR="00E63603" w:rsidRPr="00C10913">
        <w:rPr>
          <w:color w:val="000000" w:themeColor="text1"/>
          <w:sz w:val="22"/>
          <w:szCs w:val="22"/>
        </w:rPr>
        <w:t xml:space="preserve"> </w:t>
      </w:r>
      <w:r w:rsidRPr="00C10913">
        <w:rPr>
          <w:color w:val="000000" w:themeColor="text1"/>
          <w:sz w:val="22"/>
          <w:szCs w:val="22"/>
        </w:rPr>
        <w:t>Mal/hizmet alımı için Muayene ve Kabul Tutanağı düzenlenir. Satın alınan mal ve malzemenin Taşınır Kayıt işlemi yapılır. Alınan fatura doğrultusunda Ödeme Emri Belgesi oluşturularak imzaya sunulur. Satın alma dosyası Strateji Geliştirme Daire Başkanlığına gönderilir.</w:t>
      </w:r>
    </w:p>
    <w:p w14:paraId="6D8071B6" w14:textId="77777777" w:rsidR="00DE7F4B" w:rsidRPr="00C10913" w:rsidRDefault="00DE7F4B" w:rsidP="00C10913">
      <w:pPr>
        <w:spacing w:line="360" w:lineRule="auto"/>
        <w:jc w:val="both"/>
        <w:rPr>
          <w:color w:val="000000" w:themeColor="text1"/>
          <w:sz w:val="22"/>
          <w:szCs w:val="22"/>
        </w:rPr>
      </w:pPr>
    </w:p>
    <w:p w14:paraId="739743CE" w14:textId="634A9B9D" w:rsidR="00DE7F4B" w:rsidRPr="00C10913" w:rsidRDefault="00656DCA" w:rsidP="00C10913">
      <w:pPr>
        <w:spacing w:line="360" w:lineRule="auto"/>
        <w:jc w:val="both"/>
        <w:rPr>
          <w:b/>
          <w:bCs/>
          <w:color w:val="000000" w:themeColor="text1"/>
          <w:sz w:val="22"/>
          <w:szCs w:val="22"/>
        </w:rPr>
      </w:pPr>
      <w:r w:rsidRPr="00C10913">
        <w:rPr>
          <w:b/>
          <w:bCs/>
          <w:color w:val="000000" w:themeColor="text1"/>
          <w:sz w:val="22"/>
          <w:szCs w:val="22"/>
        </w:rPr>
        <w:t>5.8</w:t>
      </w:r>
      <w:r w:rsidR="00DE7F4B" w:rsidRPr="00C10913">
        <w:rPr>
          <w:b/>
          <w:bCs/>
          <w:color w:val="000000" w:themeColor="text1"/>
          <w:sz w:val="22"/>
          <w:szCs w:val="22"/>
        </w:rPr>
        <w:t xml:space="preserve"> Elektronik Kaynak Seçim ve Sağlama İş Süreci</w:t>
      </w:r>
    </w:p>
    <w:p w14:paraId="6966E2F6" w14:textId="57171AC5" w:rsidR="00DE7F4B" w:rsidRPr="00C10913" w:rsidRDefault="00DE7F4B" w:rsidP="00C10913">
      <w:pPr>
        <w:spacing w:line="360" w:lineRule="auto"/>
        <w:jc w:val="both"/>
        <w:rPr>
          <w:color w:val="000000" w:themeColor="text1"/>
          <w:sz w:val="22"/>
          <w:szCs w:val="22"/>
        </w:rPr>
      </w:pPr>
      <w:r w:rsidRPr="00C10913">
        <w:rPr>
          <w:color w:val="000000" w:themeColor="text1"/>
          <w:sz w:val="22"/>
          <w:szCs w:val="22"/>
        </w:rPr>
        <w:lastRenderedPageBreak/>
        <w:t xml:space="preserve"> Kütüphanenin elektronik kaynak seçim ve sağlama işlemleri; Talep ve ULAKBİM olmak üzere iki şekilde gerçekleştirilir. Talep Seçim şeklinde yapılan alımlarda ANKOS ve firma duyuruları izlenir. Veri Tabanı içeriği kütüphane koleksiyonuna uygunluğu değerlendirilir, deneme erişimi sağlanır. Web sitesi, sosyal medya ve e-posta ile kullanıcılara duyurulur. Kullanım süresi sonunda istatistikler ve geribildirimler değerlendirilerek veri tabanı kullanımının etkinliği analiz edilir. Yüksek istatistik ve olumlu geri bildirim alınan veri tabanlarının satın alma süreci gerçekleştirilerek erişime açılır. Düşük istatistik ve olumsuz geri bildirim alınırsa veri tabanları erişime açılmaz. Sağlanan veri tabanı web sitesi, sosyal medya ve e-posta ile kullanıcılara duyurulur. ULAKBİM yoluyla elektronik kaynak seçim ve sağlama işlemlerinde ise; erişime açılan veri tabanı test edilir. Erişilemeyen veri tabanı, veri tabanı sorumlusuna bildirilir. Erişilen ve sağlanan veri tabanı web sitesi, sosyal medya ve e-posta ile duyurulur.</w:t>
      </w:r>
    </w:p>
    <w:p w14:paraId="2C6AD767" w14:textId="19D65593" w:rsidR="00065074" w:rsidRPr="00C10913" w:rsidRDefault="00065074" w:rsidP="00C10913">
      <w:pPr>
        <w:spacing w:line="360" w:lineRule="auto"/>
        <w:jc w:val="both"/>
        <w:rPr>
          <w:color w:val="000000" w:themeColor="text1"/>
          <w:sz w:val="22"/>
          <w:szCs w:val="22"/>
        </w:rPr>
      </w:pPr>
    </w:p>
    <w:p w14:paraId="1082EC21" w14:textId="2FC17FA4" w:rsidR="00065074" w:rsidRPr="00C10913" w:rsidRDefault="00065074" w:rsidP="00C10913">
      <w:pPr>
        <w:spacing w:line="360" w:lineRule="auto"/>
        <w:jc w:val="both"/>
        <w:rPr>
          <w:b/>
          <w:color w:val="000000" w:themeColor="text1"/>
          <w:sz w:val="22"/>
          <w:szCs w:val="22"/>
          <w:lang w:eastAsia="tr-TR"/>
        </w:rPr>
      </w:pPr>
      <w:r w:rsidRPr="00C10913">
        <w:rPr>
          <w:b/>
          <w:color w:val="000000" w:themeColor="text1"/>
          <w:sz w:val="22"/>
          <w:szCs w:val="22"/>
          <w:lang w:eastAsia="tr-TR"/>
        </w:rPr>
        <w:t>5.9. İntihal Kontrol Programları İş Süreci</w:t>
      </w:r>
    </w:p>
    <w:p w14:paraId="40CDD242" w14:textId="77777777" w:rsidR="00065074" w:rsidRPr="00C10913" w:rsidRDefault="00065074" w:rsidP="00C10913">
      <w:pPr>
        <w:spacing w:line="360" w:lineRule="auto"/>
        <w:jc w:val="both"/>
        <w:rPr>
          <w:color w:val="000000" w:themeColor="text1"/>
          <w:sz w:val="22"/>
          <w:szCs w:val="22"/>
        </w:rPr>
      </w:pPr>
      <w:r w:rsidRPr="00C10913">
        <w:rPr>
          <w:rStyle w:val="Gl"/>
          <w:b w:val="0"/>
          <w:bCs w:val="0"/>
          <w:color w:val="000000" w:themeColor="text1"/>
          <w:sz w:val="22"/>
          <w:szCs w:val="22"/>
          <w:shd w:val="clear" w:color="auto" w:fill="FFFFFF"/>
        </w:rPr>
        <w:t>Tez, proje, ödev ve belgelerdeki</w:t>
      </w:r>
      <w:r w:rsidRPr="00C10913">
        <w:rPr>
          <w:rStyle w:val="Gl"/>
          <w:color w:val="000000" w:themeColor="text1"/>
          <w:sz w:val="22"/>
          <w:szCs w:val="22"/>
          <w:shd w:val="clear" w:color="auto" w:fill="FFFFFF"/>
        </w:rPr>
        <w:t> </w:t>
      </w:r>
      <w:r w:rsidRPr="00C10913">
        <w:rPr>
          <w:color w:val="000000" w:themeColor="text1"/>
          <w:sz w:val="22"/>
          <w:szCs w:val="22"/>
          <w:shd w:val="clear" w:color="auto" w:fill="FFFFFF"/>
        </w:rPr>
        <w:t>kopyacılık (intihal) oranının otomatik olarak tespiti için kullanılan</w:t>
      </w:r>
      <w:r w:rsidRPr="00C10913">
        <w:rPr>
          <w:color w:val="000000" w:themeColor="text1"/>
          <w:sz w:val="22"/>
          <w:szCs w:val="22"/>
          <w:lang w:eastAsia="tr-TR"/>
        </w:rPr>
        <w:t xml:space="preserve"> İntihal kontrol Programlarının </w:t>
      </w:r>
      <w:r w:rsidRPr="00C10913">
        <w:rPr>
          <w:color w:val="000000" w:themeColor="text1"/>
          <w:sz w:val="22"/>
          <w:szCs w:val="22"/>
        </w:rPr>
        <w:t>Uygulanmasına yönelik bilgiler talimatta belirtilmiştir.</w:t>
      </w:r>
    </w:p>
    <w:p w14:paraId="36DD9727" w14:textId="77777777" w:rsidR="00DE7F4B" w:rsidRPr="00C10913" w:rsidRDefault="00DE7F4B" w:rsidP="00C10913">
      <w:pPr>
        <w:spacing w:line="360" w:lineRule="auto"/>
        <w:jc w:val="both"/>
        <w:rPr>
          <w:color w:val="000000" w:themeColor="text1"/>
          <w:sz w:val="22"/>
          <w:szCs w:val="22"/>
        </w:rPr>
      </w:pPr>
    </w:p>
    <w:p w14:paraId="11F0DA08" w14:textId="163F2286" w:rsidR="00DE7F4B" w:rsidRPr="00C10913" w:rsidRDefault="00410679" w:rsidP="00C10913">
      <w:pPr>
        <w:spacing w:line="360" w:lineRule="auto"/>
        <w:jc w:val="both"/>
        <w:rPr>
          <w:b/>
          <w:color w:val="000000" w:themeColor="text1"/>
          <w:sz w:val="22"/>
          <w:szCs w:val="22"/>
        </w:rPr>
      </w:pPr>
      <w:r w:rsidRPr="00C10913">
        <w:rPr>
          <w:b/>
          <w:color w:val="000000" w:themeColor="text1"/>
          <w:sz w:val="22"/>
          <w:szCs w:val="22"/>
        </w:rPr>
        <w:t>6. İLGİLİ DOKÜMANLAR</w:t>
      </w:r>
    </w:p>
    <w:p w14:paraId="5EB390B1" w14:textId="4258FCFA"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Ödeme Emri Belgesi</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29C2C75F" w14:textId="66E66E08"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Anglo American Kataloglama Kuralları </w:t>
      </w:r>
      <w:r w:rsidRPr="00C10913">
        <w:rPr>
          <w:color w:val="000000" w:themeColor="text1"/>
          <w:sz w:val="22"/>
          <w:szCs w:val="22"/>
        </w:rPr>
        <w:tab/>
      </w:r>
      <w:r w:rsidRPr="00C10913">
        <w:rPr>
          <w:color w:val="000000" w:themeColor="text1"/>
          <w:sz w:val="22"/>
          <w:szCs w:val="22"/>
        </w:rPr>
        <w:tab/>
      </w:r>
    </w:p>
    <w:p w14:paraId="30673EA9" w14:textId="42BF6B64"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Taşınır İşlem Fişi </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0D762C25" w14:textId="32DF7CB1"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Davet Belgesi Standart Form </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09883394" w14:textId="0BFE390E"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İhale İlanı Standart Form </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492F67B7" w14:textId="31DD25C1"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İhale Komisyonu Kararı Standart Form </w:t>
      </w:r>
      <w:r w:rsidRPr="00C10913">
        <w:rPr>
          <w:color w:val="000000" w:themeColor="text1"/>
          <w:sz w:val="22"/>
          <w:szCs w:val="22"/>
        </w:rPr>
        <w:tab/>
      </w:r>
      <w:r w:rsidRPr="00C10913">
        <w:rPr>
          <w:color w:val="000000" w:themeColor="text1"/>
          <w:sz w:val="22"/>
          <w:szCs w:val="22"/>
        </w:rPr>
        <w:tab/>
      </w:r>
    </w:p>
    <w:p w14:paraId="3AAAC51A" w14:textId="4487B40B"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İhale Komisyonu Görevlendirme Belgesi </w:t>
      </w:r>
      <w:r w:rsidRPr="00C10913">
        <w:rPr>
          <w:color w:val="000000" w:themeColor="text1"/>
          <w:sz w:val="22"/>
          <w:szCs w:val="22"/>
        </w:rPr>
        <w:tab/>
      </w:r>
      <w:r w:rsidRPr="00C10913">
        <w:rPr>
          <w:color w:val="000000" w:themeColor="text1"/>
          <w:sz w:val="22"/>
          <w:szCs w:val="22"/>
        </w:rPr>
        <w:tab/>
      </w:r>
    </w:p>
    <w:p w14:paraId="098E8365" w14:textId="2512E63C"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İhale Komisyonu Ara Kararı             </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3B5377BC" w14:textId="61175646"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Kesinleşen İhale Kararı</w:t>
      </w:r>
      <w:r w:rsidRPr="00C10913">
        <w:rPr>
          <w:color w:val="000000" w:themeColor="text1"/>
          <w:sz w:val="22"/>
          <w:szCs w:val="22"/>
        </w:rPr>
        <w:tab/>
        <w:t xml:space="preserve"> </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0C252A10" w14:textId="5755AA66"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Yazışma evrakı (Teknik Şartname)</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08CB5539" w14:textId="0C76E546"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Muayene Kabul Tutanağı</w:t>
      </w:r>
      <w:r w:rsidRPr="00C10913">
        <w:rPr>
          <w:color w:val="000000" w:themeColor="text1"/>
          <w:sz w:val="22"/>
          <w:szCs w:val="22"/>
        </w:rPr>
        <w:tab/>
        <w:t xml:space="preserve">            </w:t>
      </w:r>
      <w:r w:rsidRPr="00C10913">
        <w:rPr>
          <w:color w:val="000000" w:themeColor="text1"/>
          <w:sz w:val="22"/>
          <w:szCs w:val="22"/>
        </w:rPr>
        <w:tab/>
      </w:r>
      <w:r w:rsidRPr="00C10913">
        <w:rPr>
          <w:color w:val="000000" w:themeColor="text1"/>
          <w:sz w:val="22"/>
          <w:szCs w:val="22"/>
        </w:rPr>
        <w:tab/>
      </w:r>
    </w:p>
    <w:p w14:paraId="7B912207" w14:textId="48465637"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Ödeme Emri Belgesi </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0C5073A0" w14:textId="3A17864F"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Satınalma (İhale) Onay </w:t>
      </w:r>
      <w:r w:rsidR="005E7116">
        <w:rPr>
          <w:color w:val="000000" w:themeColor="text1"/>
          <w:sz w:val="22"/>
          <w:szCs w:val="22"/>
        </w:rPr>
        <w:t>B</w:t>
      </w:r>
      <w:r w:rsidRPr="00C10913">
        <w:rPr>
          <w:color w:val="000000" w:themeColor="text1"/>
          <w:sz w:val="22"/>
          <w:szCs w:val="22"/>
        </w:rPr>
        <w:t xml:space="preserve">elgesi </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0570773A" w14:textId="01D0ED66"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Satın</w:t>
      </w:r>
      <w:r w:rsidR="005E7116">
        <w:rPr>
          <w:color w:val="000000" w:themeColor="text1"/>
          <w:sz w:val="22"/>
          <w:szCs w:val="22"/>
        </w:rPr>
        <w:t>a</w:t>
      </w:r>
      <w:r w:rsidRPr="00C10913">
        <w:rPr>
          <w:color w:val="000000" w:themeColor="text1"/>
          <w:sz w:val="22"/>
          <w:szCs w:val="22"/>
        </w:rPr>
        <w:t xml:space="preserve">lma </w:t>
      </w:r>
      <w:r w:rsidR="005E7116">
        <w:rPr>
          <w:color w:val="000000" w:themeColor="text1"/>
          <w:sz w:val="22"/>
          <w:szCs w:val="22"/>
        </w:rPr>
        <w:t>L</w:t>
      </w:r>
      <w:r w:rsidRPr="00C10913">
        <w:rPr>
          <w:color w:val="000000" w:themeColor="text1"/>
          <w:sz w:val="22"/>
          <w:szCs w:val="22"/>
        </w:rPr>
        <w:t>istesi</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469AA517" w14:textId="4BC18580"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Sözleşme Metni </w:t>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r w:rsidRPr="00C10913">
        <w:rPr>
          <w:color w:val="000000" w:themeColor="text1"/>
          <w:sz w:val="22"/>
          <w:szCs w:val="22"/>
        </w:rPr>
        <w:tab/>
      </w:r>
    </w:p>
    <w:p w14:paraId="3CC0254D" w14:textId="5A2B578A" w:rsidR="00410679" w:rsidRP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Yaklaşık Maliyet Belgesi Standart Form</w:t>
      </w:r>
      <w:r w:rsidRPr="00C10913">
        <w:rPr>
          <w:color w:val="000000" w:themeColor="text1"/>
          <w:sz w:val="22"/>
          <w:szCs w:val="22"/>
        </w:rPr>
        <w:tab/>
      </w:r>
      <w:r w:rsidRPr="00C10913">
        <w:rPr>
          <w:color w:val="000000" w:themeColor="text1"/>
          <w:sz w:val="22"/>
          <w:szCs w:val="22"/>
        </w:rPr>
        <w:tab/>
      </w:r>
    </w:p>
    <w:p w14:paraId="03D9994D" w14:textId="77777777" w:rsidR="00C10913" w:rsidRDefault="00410679" w:rsidP="00C10913">
      <w:pPr>
        <w:pStyle w:val="ListeParagraf"/>
        <w:numPr>
          <w:ilvl w:val="0"/>
          <w:numId w:val="25"/>
        </w:numPr>
        <w:spacing w:line="360" w:lineRule="auto"/>
        <w:jc w:val="both"/>
        <w:rPr>
          <w:color w:val="000000" w:themeColor="text1"/>
          <w:sz w:val="22"/>
          <w:szCs w:val="22"/>
        </w:rPr>
      </w:pPr>
      <w:r w:rsidRPr="00C10913">
        <w:rPr>
          <w:color w:val="000000" w:themeColor="text1"/>
          <w:sz w:val="22"/>
          <w:szCs w:val="22"/>
        </w:rPr>
        <w:t xml:space="preserve">Yaklaşık Maliyet Hesap Belgesi </w:t>
      </w:r>
    </w:p>
    <w:p w14:paraId="3A49E859" w14:textId="77777777" w:rsidR="00410679" w:rsidRPr="00C10913" w:rsidRDefault="00410679" w:rsidP="00C10913">
      <w:pPr>
        <w:spacing w:line="360" w:lineRule="auto"/>
        <w:jc w:val="both"/>
        <w:rPr>
          <w:color w:val="000000" w:themeColor="text1"/>
          <w:sz w:val="22"/>
          <w:szCs w:val="22"/>
        </w:rPr>
      </w:pPr>
    </w:p>
    <w:p w14:paraId="0201E559" w14:textId="77777777" w:rsidR="00AC373D" w:rsidRPr="00C10913" w:rsidRDefault="00AC373D" w:rsidP="00C10913">
      <w:pPr>
        <w:spacing w:line="360" w:lineRule="auto"/>
        <w:jc w:val="both"/>
        <w:rPr>
          <w:b/>
          <w:bCs/>
          <w:color w:val="000000" w:themeColor="text1"/>
          <w:sz w:val="22"/>
          <w:szCs w:val="22"/>
        </w:rPr>
      </w:pPr>
      <w:r w:rsidRPr="00C10913">
        <w:rPr>
          <w:b/>
          <w:bCs/>
          <w:color w:val="000000" w:themeColor="text1"/>
          <w:sz w:val="22"/>
          <w:szCs w:val="22"/>
        </w:rPr>
        <w:lastRenderedPageBreak/>
        <w:t>7.REVİZYON TABLOSU</w:t>
      </w:r>
    </w:p>
    <w:tbl>
      <w:tblPr>
        <w:tblStyle w:val="TabloKlavuzu"/>
        <w:tblW w:w="0" w:type="auto"/>
        <w:jc w:val="center"/>
        <w:tblLook w:val="04A0" w:firstRow="1" w:lastRow="0" w:firstColumn="1" w:lastColumn="0" w:noHBand="0" w:noVBand="1"/>
      </w:tblPr>
      <w:tblGrid>
        <w:gridCol w:w="1985"/>
        <w:gridCol w:w="1985"/>
        <w:gridCol w:w="5102"/>
      </w:tblGrid>
      <w:tr w:rsidR="00C10913" w:rsidRPr="00C10913" w14:paraId="0736EA38" w14:textId="77777777" w:rsidTr="0068684C">
        <w:trPr>
          <w:trHeight w:val="397"/>
          <w:jc w:val="center"/>
        </w:trPr>
        <w:tc>
          <w:tcPr>
            <w:tcW w:w="1985" w:type="dxa"/>
            <w:vAlign w:val="center"/>
          </w:tcPr>
          <w:p w14:paraId="1DC8320B" w14:textId="77777777" w:rsidR="00AC373D" w:rsidRPr="00C10913" w:rsidRDefault="00AC373D" w:rsidP="00C10913">
            <w:pPr>
              <w:spacing w:line="360" w:lineRule="auto"/>
              <w:jc w:val="center"/>
              <w:rPr>
                <w:b/>
                <w:bCs/>
                <w:color w:val="000000" w:themeColor="text1"/>
                <w:sz w:val="22"/>
                <w:szCs w:val="22"/>
              </w:rPr>
            </w:pPr>
            <w:r w:rsidRPr="00C10913">
              <w:rPr>
                <w:b/>
                <w:bCs/>
                <w:color w:val="000000" w:themeColor="text1"/>
                <w:sz w:val="22"/>
                <w:szCs w:val="22"/>
              </w:rPr>
              <w:t>REVİZYON NO</w:t>
            </w:r>
          </w:p>
        </w:tc>
        <w:tc>
          <w:tcPr>
            <w:tcW w:w="1985" w:type="dxa"/>
            <w:vAlign w:val="center"/>
          </w:tcPr>
          <w:p w14:paraId="24349802" w14:textId="77777777" w:rsidR="00AC373D" w:rsidRPr="00C10913" w:rsidRDefault="00AC373D" w:rsidP="00C10913">
            <w:pPr>
              <w:spacing w:line="360" w:lineRule="auto"/>
              <w:jc w:val="center"/>
              <w:rPr>
                <w:b/>
                <w:bCs/>
                <w:color w:val="000000" w:themeColor="text1"/>
                <w:sz w:val="22"/>
                <w:szCs w:val="22"/>
              </w:rPr>
            </w:pPr>
            <w:r w:rsidRPr="00C10913">
              <w:rPr>
                <w:b/>
                <w:bCs/>
                <w:color w:val="000000" w:themeColor="text1"/>
                <w:sz w:val="22"/>
                <w:szCs w:val="22"/>
              </w:rPr>
              <w:t>TARİH</w:t>
            </w:r>
          </w:p>
        </w:tc>
        <w:tc>
          <w:tcPr>
            <w:tcW w:w="5102" w:type="dxa"/>
            <w:vAlign w:val="center"/>
          </w:tcPr>
          <w:p w14:paraId="10B83E33" w14:textId="77777777" w:rsidR="00AC373D" w:rsidRPr="00C10913" w:rsidRDefault="00AC373D" w:rsidP="00C10913">
            <w:pPr>
              <w:spacing w:line="360" w:lineRule="auto"/>
              <w:jc w:val="center"/>
              <w:rPr>
                <w:b/>
                <w:bCs/>
                <w:color w:val="000000" w:themeColor="text1"/>
                <w:sz w:val="22"/>
                <w:szCs w:val="22"/>
              </w:rPr>
            </w:pPr>
            <w:r w:rsidRPr="00C10913">
              <w:rPr>
                <w:b/>
                <w:bCs/>
                <w:color w:val="000000" w:themeColor="text1"/>
                <w:sz w:val="22"/>
                <w:szCs w:val="22"/>
              </w:rPr>
              <w:t>AÇIKLAMA</w:t>
            </w:r>
          </w:p>
        </w:tc>
      </w:tr>
      <w:tr w:rsidR="00C10913" w:rsidRPr="00C10913" w14:paraId="287B15AA" w14:textId="77777777" w:rsidTr="0068684C">
        <w:trPr>
          <w:trHeight w:val="397"/>
          <w:jc w:val="center"/>
        </w:trPr>
        <w:tc>
          <w:tcPr>
            <w:tcW w:w="1985" w:type="dxa"/>
            <w:vAlign w:val="center"/>
          </w:tcPr>
          <w:p w14:paraId="60C428F4" w14:textId="77777777" w:rsidR="00AC373D" w:rsidRPr="00C10913" w:rsidRDefault="00AC373D" w:rsidP="00C10913">
            <w:pPr>
              <w:spacing w:line="360" w:lineRule="auto"/>
              <w:jc w:val="center"/>
              <w:rPr>
                <w:color w:val="000000" w:themeColor="text1"/>
                <w:sz w:val="22"/>
                <w:szCs w:val="22"/>
              </w:rPr>
            </w:pPr>
            <w:r w:rsidRPr="00C10913">
              <w:rPr>
                <w:color w:val="000000" w:themeColor="text1"/>
                <w:sz w:val="22"/>
                <w:szCs w:val="22"/>
              </w:rPr>
              <w:t>00</w:t>
            </w:r>
          </w:p>
        </w:tc>
        <w:tc>
          <w:tcPr>
            <w:tcW w:w="1985" w:type="dxa"/>
            <w:vAlign w:val="center"/>
          </w:tcPr>
          <w:p w14:paraId="606404D6" w14:textId="3AEF04BA" w:rsidR="00AC373D" w:rsidRPr="00C10913" w:rsidRDefault="00E62ECE" w:rsidP="00C10913">
            <w:pPr>
              <w:spacing w:line="360" w:lineRule="auto"/>
              <w:jc w:val="center"/>
              <w:rPr>
                <w:color w:val="000000" w:themeColor="text1"/>
                <w:sz w:val="22"/>
                <w:szCs w:val="22"/>
              </w:rPr>
            </w:pPr>
            <w:r>
              <w:rPr>
                <w:color w:val="000000" w:themeColor="text1"/>
                <w:sz w:val="22"/>
                <w:szCs w:val="22"/>
              </w:rPr>
              <w:t>10.08.2023</w:t>
            </w:r>
          </w:p>
        </w:tc>
        <w:tc>
          <w:tcPr>
            <w:tcW w:w="5102" w:type="dxa"/>
            <w:vAlign w:val="center"/>
          </w:tcPr>
          <w:p w14:paraId="781A6AAB" w14:textId="77777777" w:rsidR="00AC373D" w:rsidRPr="00C10913" w:rsidRDefault="00AC373D" w:rsidP="00C10913">
            <w:pPr>
              <w:spacing w:line="360" w:lineRule="auto"/>
              <w:jc w:val="both"/>
              <w:rPr>
                <w:color w:val="000000" w:themeColor="text1"/>
                <w:sz w:val="22"/>
                <w:szCs w:val="22"/>
              </w:rPr>
            </w:pPr>
            <w:r w:rsidRPr="00C10913">
              <w:rPr>
                <w:color w:val="000000" w:themeColor="text1"/>
                <w:sz w:val="22"/>
                <w:szCs w:val="22"/>
              </w:rPr>
              <w:t>İlk yayın</w:t>
            </w:r>
          </w:p>
        </w:tc>
      </w:tr>
      <w:tr w:rsidR="00C10913" w:rsidRPr="00C10913" w14:paraId="19F52C95" w14:textId="77777777" w:rsidTr="0068684C">
        <w:trPr>
          <w:trHeight w:val="397"/>
          <w:jc w:val="center"/>
        </w:trPr>
        <w:tc>
          <w:tcPr>
            <w:tcW w:w="1985" w:type="dxa"/>
            <w:vAlign w:val="center"/>
          </w:tcPr>
          <w:p w14:paraId="14FAD1D5" w14:textId="77777777" w:rsidR="00AC373D" w:rsidRPr="00C10913" w:rsidRDefault="00AC373D" w:rsidP="00C10913">
            <w:pPr>
              <w:spacing w:line="360" w:lineRule="auto"/>
              <w:jc w:val="center"/>
              <w:rPr>
                <w:color w:val="000000" w:themeColor="text1"/>
                <w:sz w:val="22"/>
                <w:szCs w:val="22"/>
              </w:rPr>
            </w:pPr>
          </w:p>
        </w:tc>
        <w:tc>
          <w:tcPr>
            <w:tcW w:w="1985" w:type="dxa"/>
            <w:vAlign w:val="center"/>
          </w:tcPr>
          <w:p w14:paraId="75509F42" w14:textId="77777777" w:rsidR="00AC373D" w:rsidRPr="00C10913" w:rsidRDefault="00AC373D" w:rsidP="00C10913">
            <w:pPr>
              <w:spacing w:line="360" w:lineRule="auto"/>
              <w:jc w:val="center"/>
              <w:rPr>
                <w:color w:val="000000" w:themeColor="text1"/>
                <w:sz w:val="22"/>
                <w:szCs w:val="22"/>
              </w:rPr>
            </w:pPr>
          </w:p>
        </w:tc>
        <w:tc>
          <w:tcPr>
            <w:tcW w:w="5102" w:type="dxa"/>
            <w:vAlign w:val="center"/>
          </w:tcPr>
          <w:p w14:paraId="30FAA0BC" w14:textId="77777777" w:rsidR="00AC373D" w:rsidRPr="00C10913" w:rsidRDefault="00AC373D" w:rsidP="00C10913">
            <w:pPr>
              <w:spacing w:line="360" w:lineRule="auto"/>
              <w:jc w:val="center"/>
              <w:rPr>
                <w:color w:val="000000" w:themeColor="text1"/>
                <w:sz w:val="22"/>
                <w:szCs w:val="22"/>
              </w:rPr>
            </w:pPr>
          </w:p>
        </w:tc>
      </w:tr>
      <w:tr w:rsidR="00C10913" w:rsidRPr="00C10913" w14:paraId="4BBBBFE0" w14:textId="77777777" w:rsidTr="0068684C">
        <w:trPr>
          <w:trHeight w:val="397"/>
          <w:jc w:val="center"/>
        </w:trPr>
        <w:tc>
          <w:tcPr>
            <w:tcW w:w="1985" w:type="dxa"/>
            <w:vAlign w:val="center"/>
          </w:tcPr>
          <w:p w14:paraId="6DBC1343" w14:textId="77777777" w:rsidR="00AC373D" w:rsidRPr="00C10913" w:rsidRDefault="00AC373D" w:rsidP="00C10913">
            <w:pPr>
              <w:spacing w:line="360" w:lineRule="auto"/>
              <w:jc w:val="center"/>
              <w:rPr>
                <w:color w:val="000000" w:themeColor="text1"/>
                <w:sz w:val="22"/>
                <w:szCs w:val="22"/>
              </w:rPr>
            </w:pPr>
          </w:p>
        </w:tc>
        <w:tc>
          <w:tcPr>
            <w:tcW w:w="1985" w:type="dxa"/>
            <w:vAlign w:val="center"/>
          </w:tcPr>
          <w:p w14:paraId="633BE7F3" w14:textId="77777777" w:rsidR="00AC373D" w:rsidRPr="00C10913" w:rsidRDefault="00AC373D" w:rsidP="00C10913">
            <w:pPr>
              <w:spacing w:line="360" w:lineRule="auto"/>
              <w:jc w:val="center"/>
              <w:rPr>
                <w:color w:val="000000" w:themeColor="text1"/>
                <w:sz w:val="22"/>
                <w:szCs w:val="22"/>
              </w:rPr>
            </w:pPr>
          </w:p>
        </w:tc>
        <w:tc>
          <w:tcPr>
            <w:tcW w:w="5102" w:type="dxa"/>
            <w:vAlign w:val="center"/>
          </w:tcPr>
          <w:p w14:paraId="0C3E43CD" w14:textId="77777777" w:rsidR="00AC373D" w:rsidRPr="00C10913" w:rsidRDefault="00AC373D" w:rsidP="00C10913">
            <w:pPr>
              <w:spacing w:line="360" w:lineRule="auto"/>
              <w:jc w:val="center"/>
              <w:rPr>
                <w:color w:val="000000" w:themeColor="text1"/>
                <w:sz w:val="22"/>
                <w:szCs w:val="22"/>
              </w:rPr>
            </w:pPr>
          </w:p>
        </w:tc>
      </w:tr>
      <w:tr w:rsidR="00C10913" w:rsidRPr="00C10913" w14:paraId="102BBE09" w14:textId="77777777" w:rsidTr="0068684C">
        <w:trPr>
          <w:trHeight w:val="397"/>
          <w:jc w:val="center"/>
        </w:trPr>
        <w:tc>
          <w:tcPr>
            <w:tcW w:w="1985" w:type="dxa"/>
            <w:vAlign w:val="center"/>
          </w:tcPr>
          <w:p w14:paraId="7CBCDB40" w14:textId="77777777" w:rsidR="00AC373D" w:rsidRPr="00C10913" w:rsidRDefault="00AC373D" w:rsidP="00C10913">
            <w:pPr>
              <w:spacing w:line="360" w:lineRule="auto"/>
              <w:jc w:val="center"/>
              <w:rPr>
                <w:color w:val="000000" w:themeColor="text1"/>
                <w:sz w:val="22"/>
                <w:szCs w:val="22"/>
              </w:rPr>
            </w:pPr>
          </w:p>
        </w:tc>
        <w:tc>
          <w:tcPr>
            <w:tcW w:w="1985" w:type="dxa"/>
            <w:vAlign w:val="center"/>
          </w:tcPr>
          <w:p w14:paraId="74340F26" w14:textId="77777777" w:rsidR="00AC373D" w:rsidRPr="00C10913" w:rsidRDefault="00AC373D" w:rsidP="00C10913">
            <w:pPr>
              <w:spacing w:line="360" w:lineRule="auto"/>
              <w:jc w:val="center"/>
              <w:rPr>
                <w:color w:val="000000" w:themeColor="text1"/>
                <w:sz w:val="22"/>
                <w:szCs w:val="22"/>
              </w:rPr>
            </w:pPr>
          </w:p>
        </w:tc>
        <w:tc>
          <w:tcPr>
            <w:tcW w:w="5102" w:type="dxa"/>
            <w:vAlign w:val="center"/>
          </w:tcPr>
          <w:p w14:paraId="0C360A09" w14:textId="77777777" w:rsidR="00AC373D" w:rsidRPr="00C10913" w:rsidRDefault="00AC373D" w:rsidP="00C10913">
            <w:pPr>
              <w:spacing w:line="360" w:lineRule="auto"/>
              <w:jc w:val="center"/>
              <w:rPr>
                <w:color w:val="000000" w:themeColor="text1"/>
                <w:sz w:val="22"/>
                <w:szCs w:val="22"/>
              </w:rPr>
            </w:pPr>
          </w:p>
        </w:tc>
      </w:tr>
      <w:tr w:rsidR="00AC373D" w:rsidRPr="00C10913" w14:paraId="4EDB50C7" w14:textId="77777777" w:rsidTr="0068684C">
        <w:trPr>
          <w:trHeight w:val="397"/>
          <w:jc w:val="center"/>
        </w:trPr>
        <w:tc>
          <w:tcPr>
            <w:tcW w:w="1985" w:type="dxa"/>
            <w:vAlign w:val="center"/>
          </w:tcPr>
          <w:p w14:paraId="79260CAC" w14:textId="77777777" w:rsidR="00AC373D" w:rsidRPr="00C10913" w:rsidRDefault="00AC373D" w:rsidP="00C10913">
            <w:pPr>
              <w:spacing w:line="360" w:lineRule="auto"/>
              <w:jc w:val="center"/>
              <w:rPr>
                <w:color w:val="000000" w:themeColor="text1"/>
                <w:sz w:val="22"/>
                <w:szCs w:val="22"/>
              </w:rPr>
            </w:pPr>
          </w:p>
        </w:tc>
        <w:tc>
          <w:tcPr>
            <w:tcW w:w="1985" w:type="dxa"/>
            <w:vAlign w:val="center"/>
          </w:tcPr>
          <w:p w14:paraId="43C12589" w14:textId="77777777" w:rsidR="00AC373D" w:rsidRPr="00C10913" w:rsidRDefault="00AC373D" w:rsidP="00C10913">
            <w:pPr>
              <w:spacing w:line="360" w:lineRule="auto"/>
              <w:jc w:val="center"/>
              <w:rPr>
                <w:color w:val="000000" w:themeColor="text1"/>
                <w:sz w:val="22"/>
                <w:szCs w:val="22"/>
              </w:rPr>
            </w:pPr>
          </w:p>
        </w:tc>
        <w:tc>
          <w:tcPr>
            <w:tcW w:w="5102" w:type="dxa"/>
            <w:vAlign w:val="center"/>
          </w:tcPr>
          <w:p w14:paraId="63C9C6C5" w14:textId="77777777" w:rsidR="00AC373D" w:rsidRPr="00C10913" w:rsidRDefault="00AC373D" w:rsidP="00C10913">
            <w:pPr>
              <w:spacing w:line="360" w:lineRule="auto"/>
              <w:jc w:val="center"/>
              <w:rPr>
                <w:color w:val="000000" w:themeColor="text1"/>
                <w:sz w:val="22"/>
                <w:szCs w:val="22"/>
              </w:rPr>
            </w:pPr>
          </w:p>
        </w:tc>
      </w:tr>
    </w:tbl>
    <w:p w14:paraId="351541EF" w14:textId="77777777" w:rsidR="00D713C0" w:rsidRPr="00C10913" w:rsidRDefault="00D713C0" w:rsidP="00C10913">
      <w:pPr>
        <w:spacing w:line="360" w:lineRule="auto"/>
        <w:jc w:val="both"/>
        <w:rPr>
          <w:color w:val="000000" w:themeColor="text1"/>
          <w:sz w:val="22"/>
          <w:szCs w:val="22"/>
        </w:rPr>
      </w:pPr>
    </w:p>
    <w:sectPr w:rsidR="00D713C0" w:rsidRPr="00C10913" w:rsidSect="0039239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2A63" w14:textId="77777777" w:rsidR="00392394" w:rsidRDefault="00392394" w:rsidP="0072515F">
      <w:r>
        <w:separator/>
      </w:r>
    </w:p>
  </w:endnote>
  <w:endnote w:type="continuationSeparator" w:id="0">
    <w:p w14:paraId="542AEEC4" w14:textId="77777777" w:rsidR="00392394" w:rsidRDefault="00392394"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D8F2" w14:textId="77777777" w:rsidR="003A4FE8" w:rsidRDefault="003A4FE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4D8958F" w:rsidR="00D018D2" w:rsidRPr="001E3951" w:rsidRDefault="00572F5E"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2D2DE315" w:rsidR="00D018D2" w:rsidRPr="001E3951" w:rsidRDefault="00572F5E" w:rsidP="00D018D2">
          <w:pPr>
            <w:pStyle w:val="AltBilgi"/>
            <w:jc w:val="center"/>
            <w:rPr>
              <w:sz w:val="22"/>
              <w:szCs w:val="22"/>
            </w:rPr>
          </w:pPr>
          <w:r>
            <w:rPr>
              <w:sz w:val="22"/>
              <w:szCs w:val="22"/>
            </w:rPr>
            <w:t>Rektör/Rektör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4722" w14:textId="77777777" w:rsidR="003A4FE8" w:rsidRDefault="003A4F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2C9A" w14:textId="77777777" w:rsidR="00392394" w:rsidRDefault="00392394" w:rsidP="0072515F">
      <w:r>
        <w:separator/>
      </w:r>
    </w:p>
  </w:footnote>
  <w:footnote w:type="continuationSeparator" w:id="0">
    <w:p w14:paraId="3C87DC28" w14:textId="77777777" w:rsidR="00392394" w:rsidRDefault="00392394"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0D4A" w14:textId="77777777" w:rsidR="003A4FE8" w:rsidRDefault="003A4FE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42"/>
      <w:gridCol w:w="2494"/>
    </w:tblGrid>
    <w:tr w:rsidR="009D067F" w:rsidRPr="007B4963" w14:paraId="2F3DB210" w14:textId="77777777" w:rsidTr="009D067F">
      <w:trPr>
        <w:trHeight w:val="274"/>
        <w:jc w:val="center"/>
      </w:trPr>
      <w:tc>
        <w:tcPr>
          <w:tcW w:w="972" w:type="pct"/>
          <w:vMerge w:val="restart"/>
          <w:vAlign w:val="center"/>
        </w:tcPr>
        <w:p w14:paraId="329FB11E" w14:textId="43B0D71F" w:rsidR="000D250F" w:rsidRPr="007B4963" w:rsidRDefault="003A4FE8" w:rsidP="00B700B4">
          <w:pPr>
            <w:jc w:val="center"/>
          </w:pPr>
          <w:r>
            <w:rPr>
              <w:noProof/>
            </w:rPr>
            <w:drawing>
              <wp:inline distT="0" distB="0" distL="0" distR="0" wp14:anchorId="7239A051" wp14:editId="27C83E63">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0B16A2">
          <w:pPr>
            <w:spacing w:line="276" w:lineRule="auto"/>
            <w:jc w:val="center"/>
            <w:rPr>
              <w:b/>
              <w:sz w:val="24"/>
              <w:szCs w:val="24"/>
            </w:rPr>
          </w:pPr>
          <w:r>
            <w:rPr>
              <w:b/>
              <w:sz w:val="24"/>
              <w:szCs w:val="24"/>
            </w:rPr>
            <w:t xml:space="preserve">T.C. </w:t>
          </w:r>
        </w:p>
        <w:p w14:paraId="61625F72" w14:textId="338A1D90" w:rsidR="00D82ADE" w:rsidRDefault="00D82ADE" w:rsidP="000B16A2">
          <w:pPr>
            <w:spacing w:line="276" w:lineRule="auto"/>
            <w:jc w:val="center"/>
            <w:rPr>
              <w:b/>
              <w:sz w:val="24"/>
              <w:szCs w:val="24"/>
            </w:rPr>
          </w:pPr>
          <w:r>
            <w:rPr>
              <w:b/>
              <w:sz w:val="24"/>
              <w:szCs w:val="24"/>
            </w:rPr>
            <w:t xml:space="preserve">HARRAN ÜNİVERSİTESİ </w:t>
          </w:r>
        </w:p>
        <w:p w14:paraId="3505B2D2" w14:textId="6A63F510" w:rsidR="000D250F" w:rsidRPr="00D82ADE" w:rsidRDefault="000B16A2" w:rsidP="000B16A2">
          <w:pPr>
            <w:spacing w:line="276" w:lineRule="auto"/>
            <w:jc w:val="center"/>
            <w:rPr>
              <w:b/>
              <w:sz w:val="24"/>
              <w:szCs w:val="24"/>
            </w:rPr>
          </w:pPr>
          <w:r>
            <w:rPr>
              <w:b/>
              <w:sz w:val="24"/>
              <w:szCs w:val="24"/>
            </w:rPr>
            <w:t xml:space="preserve">KÜTÜPHANE </w:t>
          </w:r>
          <w:r w:rsidR="00707C02" w:rsidRPr="00707C02">
            <w:rPr>
              <w:b/>
              <w:sz w:val="24"/>
              <w:szCs w:val="24"/>
            </w:rPr>
            <w:t>TEKNİK HİZMETLER</w:t>
          </w:r>
          <w:r>
            <w:rPr>
              <w:b/>
              <w:sz w:val="24"/>
              <w:szCs w:val="24"/>
            </w:rPr>
            <w:t xml:space="preserve"> </w:t>
          </w:r>
          <w:r w:rsidR="00707C02" w:rsidRPr="00707C02">
            <w:rPr>
              <w:b/>
              <w:sz w:val="24"/>
              <w:szCs w:val="24"/>
            </w:rPr>
            <w:t>PROSEDÜRÜ</w:t>
          </w:r>
        </w:p>
      </w:tc>
      <w:tc>
        <w:tcPr>
          <w:tcW w:w="1250" w:type="pct"/>
          <w:vAlign w:val="center"/>
        </w:tcPr>
        <w:p w14:paraId="36A9E833" w14:textId="00458A79" w:rsidR="000D250F" w:rsidRPr="007B4963" w:rsidRDefault="000D250F" w:rsidP="00B700B4">
          <w:pPr>
            <w:spacing w:line="276" w:lineRule="auto"/>
          </w:pPr>
          <w:r w:rsidRPr="007B4963">
            <w:t>Doküman No:</w:t>
          </w:r>
          <w:r w:rsidR="000B16A2">
            <w:t xml:space="preserve"> PRD-0019</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56060F73" w:rsidR="000D250F" w:rsidRPr="007B4963" w:rsidRDefault="000D250F" w:rsidP="00B700B4">
          <w:pPr>
            <w:spacing w:line="276" w:lineRule="auto"/>
          </w:pPr>
          <w:r w:rsidRPr="007B4963">
            <w:t>Revizyon No:</w:t>
          </w:r>
          <w:r w:rsidR="0075657F">
            <w:t xml:space="preserve"> </w:t>
          </w:r>
          <w:r w:rsidR="00B3737A">
            <w:t>0</w:t>
          </w:r>
          <w:r w:rsidR="003A4FE8">
            <w:t>1</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4030B480" w:rsidR="000D250F" w:rsidRPr="007B4963" w:rsidRDefault="000D250F" w:rsidP="00486C05">
          <w:pPr>
            <w:spacing w:line="276" w:lineRule="auto"/>
          </w:pPr>
          <w:r w:rsidRPr="007B4963">
            <w:t>Yayın Tarihi:</w:t>
          </w:r>
          <w:r w:rsidR="0075657F">
            <w:t xml:space="preserve"> </w:t>
          </w:r>
          <w:r w:rsidR="000B16A2">
            <w:t>10.08.2023</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0C64AEC" w:rsidR="000D250F" w:rsidRPr="007B4963" w:rsidRDefault="000D250F" w:rsidP="00B700B4">
          <w:pPr>
            <w:spacing w:line="276" w:lineRule="auto"/>
          </w:pPr>
          <w:r w:rsidRPr="007B4963">
            <w:t>Revizyon Tarihi:</w:t>
          </w:r>
          <w:r w:rsidR="003A4FE8">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0C3055B0" w:rsidR="009D067F" w:rsidRPr="007B4963" w:rsidRDefault="000D250F" w:rsidP="00B700B4">
          <w:pPr>
            <w:spacing w:line="276" w:lineRule="auto"/>
          </w:pPr>
          <w:r>
            <w:t>Sayfa No:</w:t>
          </w:r>
          <w:r w:rsidR="000B16A2" w:rsidRPr="000B16A2">
            <w:t xml:space="preserve"> </w:t>
          </w:r>
          <w:r w:rsidR="000B16A2" w:rsidRPr="000B16A2">
            <w:fldChar w:fldCharType="begin"/>
          </w:r>
          <w:r w:rsidR="000B16A2" w:rsidRPr="000B16A2">
            <w:instrText>PAGE  \* Arabic  \* MERGEFORMAT</w:instrText>
          </w:r>
          <w:r w:rsidR="000B16A2" w:rsidRPr="000B16A2">
            <w:fldChar w:fldCharType="separate"/>
          </w:r>
          <w:r w:rsidR="00AD1B10">
            <w:rPr>
              <w:noProof/>
            </w:rPr>
            <w:t>4</w:t>
          </w:r>
          <w:r w:rsidR="000B16A2" w:rsidRPr="000B16A2">
            <w:fldChar w:fldCharType="end"/>
          </w:r>
          <w:r w:rsidR="000B16A2" w:rsidRPr="000B16A2">
            <w:t xml:space="preserve"> / </w:t>
          </w:r>
          <w:fldSimple w:instr="NUMPAGES  \* Arabic  \* MERGEFORMAT">
            <w:r w:rsidR="00AD1B10">
              <w:rPr>
                <w:noProof/>
              </w:rPr>
              <w:t>5</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11A7" w14:textId="77777777" w:rsidR="003A4FE8" w:rsidRDefault="003A4F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0F845F58"/>
    <w:multiLevelType w:val="hybridMultilevel"/>
    <w:tmpl w:val="1E6C9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4B4494"/>
    <w:multiLevelType w:val="hybridMultilevel"/>
    <w:tmpl w:val="6DEE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7"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8"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9"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59659826">
    <w:abstractNumId w:val="24"/>
  </w:num>
  <w:num w:numId="2" w16cid:durableId="1415201718">
    <w:abstractNumId w:val="21"/>
  </w:num>
  <w:num w:numId="3" w16cid:durableId="1063336967">
    <w:abstractNumId w:val="5"/>
  </w:num>
  <w:num w:numId="4" w16cid:durableId="805777616">
    <w:abstractNumId w:val="10"/>
  </w:num>
  <w:num w:numId="5" w16cid:durableId="1002857137">
    <w:abstractNumId w:val="4"/>
  </w:num>
  <w:num w:numId="6" w16cid:durableId="2109542469">
    <w:abstractNumId w:val="12"/>
  </w:num>
  <w:num w:numId="7" w16cid:durableId="84304361">
    <w:abstractNumId w:val="11"/>
  </w:num>
  <w:num w:numId="8" w16cid:durableId="1257984998">
    <w:abstractNumId w:val="2"/>
  </w:num>
  <w:num w:numId="9" w16cid:durableId="889270355">
    <w:abstractNumId w:val="16"/>
  </w:num>
  <w:num w:numId="10" w16cid:durableId="2105107350">
    <w:abstractNumId w:val="7"/>
  </w:num>
  <w:num w:numId="11" w16cid:durableId="498732502">
    <w:abstractNumId w:val="14"/>
  </w:num>
  <w:num w:numId="12" w16cid:durableId="1908346612">
    <w:abstractNumId w:val="20"/>
  </w:num>
  <w:num w:numId="13" w16cid:durableId="341706112">
    <w:abstractNumId w:val="23"/>
  </w:num>
  <w:num w:numId="14" w16cid:durableId="181480064">
    <w:abstractNumId w:val="13"/>
  </w:num>
  <w:num w:numId="15" w16cid:durableId="626006237">
    <w:abstractNumId w:val="1"/>
  </w:num>
  <w:num w:numId="16" w16cid:durableId="1955282174">
    <w:abstractNumId w:val="15"/>
  </w:num>
  <w:num w:numId="17" w16cid:durableId="926156423">
    <w:abstractNumId w:val="9"/>
  </w:num>
  <w:num w:numId="18" w16cid:durableId="1285699355">
    <w:abstractNumId w:val="6"/>
  </w:num>
  <w:num w:numId="19" w16cid:durableId="846334480">
    <w:abstractNumId w:val="18"/>
    <w:lvlOverride w:ilvl="0">
      <w:startOverride w:val="1"/>
    </w:lvlOverride>
  </w:num>
  <w:num w:numId="20" w16cid:durableId="88162454">
    <w:abstractNumId w:val="22"/>
  </w:num>
  <w:num w:numId="21" w16cid:durableId="1914118479">
    <w:abstractNumId w:val="0"/>
  </w:num>
  <w:num w:numId="22" w16cid:durableId="40402265">
    <w:abstractNumId w:val="19"/>
  </w:num>
  <w:num w:numId="23" w16cid:durableId="94987918">
    <w:abstractNumId w:val="17"/>
  </w:num>
  <w:num w:numId="24" w16cid:durableId="1471172637">
    <w:abstractNumId w:val="8"/>
  </w:num>
  <w:num w:numId="25" w16cid:durableId="2108769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5E29"/>
    <w:rsid w:val="00016976"/>
    <w:rsid w:val="0003089F"/>
    <w:rsid w:val="00033F4D"/>
    <w:rsid w:val="00065074"/>
    <w:rsid w:val="000740A2"/>
    <w:rsid w:val="00083B2C"/>
    <w:rsid w:val="00092DCA"/>
    <w:rsid w:val="000A03C5"/>
    <w:rsid w:val="000B16A2"/>
    <w:rsid w:val="000C0E70"/>
    <w:rsid w:val="000D250F"/>
    <w:rsid w:val="00124EF8"/>
    <w:rsid w:val="001448CE"/>
    <w:rsid w:val="001519FE"/>
    <w:rsid w:val="001655C7"/>
    <w:rsid w:val="001655D3"/>
    <w:rsid w:val="001707E8"/>
    <w:rsid w:val="00171A18"/>
    <w:rsid w:val="00176B88"/>
    <w:rsid w:val="001823B4"/>
    <w:rsid w:val="001A35AE"/>
    <w:rsid w:val="001B4A88"/>
    <w:rsid w:val="001C3C51"/>
    <w:rsid w:val="001C6F41"/>
    <w:rsid w:val="001D308E"/>
    <w:rsid w:val="001E3951"/>
    <w:rsid w:val="001F39F9"/>
    <w:rsid w:val="001F5160"/>
    <w:rsid w:val="00215B26"/>
    <w:rsid w:val="00215F18"/>
    <w:rsid w:val="00222FCB"/>
    <w:rsid w:val="00240FD3"/>
    <w:rsid w:val="002435EE"/>
    <w:rsid w:val="00247EDC"/>
    <w:rsid w:val="00252896"/>
    <w:rsid w:val="002605A5"/>
    <w:rsid w:val="00273363"/>
    <w:rsid w:val="0028635A"/>
    <w:rsid w:val="0029018E"/>
    <w:rsid w:val="0029458A"/>
    <w:rsid w:val="002B5A02"/>
    <w:rsid w:val="002C086B"/>
    <w:rsid w:val="002C66EE"/>
    <w:rsid w:val="002D17BF"/>
    <w:rsid w:val="002D6FB1"/>
    <w:rsid w:val="002E11E5"/>
    <w:rsid w:val="002E4395"/>
    <w:rsid w:val="002E708D"/>
    <w:rsid w:val="002F470A"/>
    <w:rsid w:val="002F4C44"/>
    <w:rsid w:val="00300EE3"/>
    <w:rsid w:val="003121F0"/>
    <w:rsid w:val="00312CA1"/>
    <w:rsid w:val="00320786"/>
    <w:rsid w:val="0032099A"/>
    <w:rsid w:val="003260A8"/>
    <w:rsid w:val="00341D8C"/>
    <w:rsid w:val="003515B4"/>
    <w:rsid w:val="003526FF"/>
    <w:rsid w:val="003621FF"/>
    <w:rsid w:val="00365148"/>
    <w:rsid w:val="00377E75"/>
    <w:rsid w:val="00392394"/>
    <w:rsid w:val="00393036"/>
    <w:rsid w:val="003A4743"/>
    <w:rsid w:val="003A4FE8"/>
    <w:rsid w:val="003B7FD4"/>
    <w:rsid w:val="003D363F"/>
    <w:rsid w:val="003D6853"/>
    <w:rsid w:val="003F51DD"/>
    <w:rsid w:val="00410679"/>
    <w:rsid w:val="0041445E"/>
    <w:rsid w:val="004320D9"/>
    <w:rsid w:val="00441E30"/>
    <w:rsid w:val="004428DE"/>
    <w:rsid w:val="004645A2"/>
    <w:rsid w:val="004747B4"/>
    <w:rsid w:val="00476BC4"/>
    <w:rsid w:val="0048131B"/>
    <w:rsid w:val="00486C05"/>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51BED"/>
    <w:rsid w:val="00570AAB"/>
    <w:rsid w:val="00572F5E"/>
    <w:rsid w:val="00581BDD"/>
    <w:rsid w:val="005B75FD"/>
    <w:rsid w:val="005C4ADB"/>
    <w:rsid w:val="005E7116"/>
    <w:rsid w:val="00611E12"/>
    <w:rsid w:val="00615235"/>
    <w:rsid w:val="0063113B"/>
    <w:rsid w:val="00632E35"/>
    <w:rsid w:val="0063415C"/>
    <w:rsid w:val="0065142C"/>
    <w:rsid w:val="00655296"/>
    <w:rsid w:val="00656DCA"/>
    <w:rsid w:val="00663126"/>
    <w:rsid w:val="00677668"/>
    <w:rsid w:val="00685B60"/>
    <w:rsid w:val="00687437"/>
    <w:rsid w:val="00691D96"/>
    <w:rsid w:val="00691EBA"/>
    <w:rsid w:val="00693A0A"/>
    <w:rsid w:val="00697BB8"/>
    <w:rsid w:val="006B0C33"/>
    <w:rsid w:val="006B7BD5"/>
    <w:rsid w:val="006C7485"/>
    <w:rsid w:val="006D3493"/>
    <w:rsid w:val="006D5932"/>
    <w:rsid w:val="006E212C"/>
    <w:rsid w:val="006F437C"/>
    <w:rsid w:val="00707C02"/>
    <w:rsid w:val="00714C43"/>
    <w:rsid w:val="007154B7"/>
    <w:rsid w:val="0072515F"/>
    <w:rsid w:val="007458FE"/>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D5751"/>
    <w:rsid w:val="007E1088"/>
    <w:rsid w:val="007F5085"/>
    <w:rsid w:val="00812652"/>
    <w:rsid w:val="00820A0B"/>
    <w:rsid w:val="00832FCC"/>
    <w:rsid w:val="00847C23"/>
    <w:rsid w:val="00852B31"/>
    <w:rsid w:val="00852C55"/>
    <w:rsid w:val="00872FDC"/>
    <w:rsid w:val="008738F4"/>
    <w:rsid w:val="008A5FD8"/>
    <w:rsid w:val="008C115F"/>
    <w:rsid w:val="008D27A1"/>
    <w:rsid w:val="008E517C"/>
    <w:rsid w:val="008F43C8"/>
    <w:rsid w:val="00917C74"/>
    <w:rsid w:val="00926577"/>
    <w:rsid w:val="00926F55"/>
    <w:rsid w:val="00935DF2"/>
    <w:rsid w:val="00936945"/>
    <w:rsid w:val="009634BE"/>
    <w:rsid w:val="009838FA"/>
    <w:rsid w:val="0099775D"/>
    <w:rsid w:val="009B33FF"/>
    <w:rsid w:val="009D067F"/>
    <w:rsid w:val="009D0F2C"/>
    <w:rsid w:val="009D1804"/>
    <w:rsid w:val="009D2D93"/>
    <w:rsid w:val="009D5080"/>
    <w:rsid w:val="009F005D"/>
    <w:rsid w:val="009F0D91"/>
    <w:rsid w:val="009F5ABB"/>
    <w:rsid w:val="009F6833"/>
    <w:rsid w:val="00A045FF"/>
    <w:rsid w:val="00A1047B"/>
    <w:rsid w:val="00A11814"/>
    <w:rsid w:val="00A27A71"/>
    <w:rsid w:val="00A41FC0"/>
    <w:rsid w:val="00A4526C"/>
    <w:rsid w:val="00A50FAB"/>
    <w:rsid w:val="00A86033"/>
    <w:rsid w:val="00A92635"/>
    <w:rsid w:val="00AA0D67"/>
    <w:rsid w:val="00AB1F2D"/>
    <w:rsid w:val="00AC15E0"/>
    <w:rsid w:val="00AC29DF"/>
    <w:rsid w:val="00AC3081"/>
    <w:rsid w:val="00AC373D"/>
    <w:rsid w:val="00AC59E7"/>
    <w:rsid w:val="00AD1B10"/>
    <w:rsid w:val="00AD63BF"/>
    <w:rsid w:val="00AD65CC"/>
    <w:rsid w:val="00AE6502"/>
    <w:rsid w:val="00AF0D70"/>
    <w:rsid w:val="00B0620C"/>
    <w:rsid w:val="00B11B71"/>
    <w:rsid w:val="00B13CF6"/>
    <w:rsid w:val="00B27C9D"/>
    <w:rsid w:val="00B36539"/>
    <w:rsid w:val="00B3737A"/>
    <w:rsid w:val="00B47885"/>
    <w:rsid w:val="00B47B5E"/>
    <w:rsid w:val="00B700B4"/>
    <w:rsid w:val="00B71A70"/>
    <w:rsid w:val="00B823A7"/>
    <w:rsid w:val="00B9229A"/>
    <w:rsid w:val="00B96859"/>
    <w:rsid w:val="00BC3F0D"/>
    <w:rsid w:val="00BD5C35"/>
    <w:rsid w:val="00BE4AED"/>
    <w:rsid w:val="00BF64E9"/>
    <w:rsid w:val="00C00F86"/>
    <w:rsid w:val="00C0349A"/>
    <w:rsid w:val="00C10913"/>
    <w:rsid w:val="00C17EA0"/>
    <w:rsid w:val="00C333FB"/>
    <w:rsid w:val="00C56C88"/>
    <w:rsid w:val="00C70F51"/>
    <w:rsid w:val="00C7582B"/>
    <w:rsid w:val="00C76404"/>
    <w:rsid w:val="00CA46CC"/>
    <w:rsid w:val="00CC5A3C"/>
    <w:rsid w:val="00CC6BE4"/>
    <w:rsid w:val="00CD3B92"/>
    <w:rsid w:val="00CD40CD"/>
    <w:rsid w:val="00CD489C"/>
    <w:rsid w:val="00CE771C"/>
    <w:rsid w:val="00D018D2"/>
    <w:rsid w:val="00D0319A"/>
    <w:rsid w:val="00D0415A"/>
    <w:rsid w:val="00D11CAF"/>
    <w:rsid w:val="00D1311D"/>
    <w:rsid w:val="00D141F0"/>
    <w:rsid w:val="00D20988"/>
    <w:rsid w:val="00D30594"/>
    <w:rsid w:val="00D3407E"/>
    <w:rsid w:val="00D41D98"/>
    <w:rsid w:val="00D43730"/>
    <w:rsid w:val="00D6150F"/>
    <w:rsid w:val="00D713C0"/>
    <w:rsid w:val="00D7483B"/>
    <w:rsid w:val="00D76E74"/>
    <w:rsid w:val="00D81111"/>
    <w:rsid w:val="00D81D9D"/>
    <w:rsid w:val="00D82ADE"/>
    <w:rsid w:val="00D832E4"/>
    <w:rsid w:val="00D84EC9"/>
    <w:rsid w:val="00D8635C"/>
    <w:rsid w:val="00DA5D70"/>
    <w:rsid w:val="00DA7364"/>
    <w:rsid w:val="00DA7A3B"/>
    <w:rsid w:val="00DA7CD0"/>
    <w:rsid w:val="00DB29EC"/>
    <w:rsid w:val="00DC3F98"/>
    <w:rsid w:val="00DD4A56"/>
    <w:rsid w:val="00DE7F4B"/>
    <w:rsid w:val="00DF2690"/>
    <w:rsid w:val="00DF3795"/>
    <w:rsid w:val="00E0289E"/>
    <w:rsid w:val="00E10C3F"/>
    <w:rsid w:val="00E123FE"/>
    <w:rsid w:val="00E146A6"/>
    <w:rsid w:val="00E35422"/>
    <w:rsid w:val="00E40805"/>
    <w:rsid w:val="00E41046"/>
    <w:rsid w:val="00E46073"/>
    <w:rsid w:val="00E4722D"/>
    <w:rsid w:val="00E62ECE"/>
    <w:rsid w:val="00E633BC"/>
    <w:rsid w:val="00E63603"/>
    <w:rsid w:val="00E8457A"/>
    <w:rsid w:val="00E84A9E"/>
    <w:rsid w:val="00E924BF"/>
    <w:rsid w:val="00ED1450"/>
    <w:rsid w:val="00EE7550"/>
    <w:rsid w:val="00EF035B"/>
    <w:rsid w:val="00EF5680"/>
    <w:rsid w:val="00EF5A86"/>
    <w:rsid w:val="00F00C25"/>
    <w:rsid w:val="00F21AB0"/>
    <w:rsid w:val="00F247D1"/>
    <w:rsid w:val="00F30345"/>
    <w:rsid w:val="00F30A4E"/>
    <w:rsid w:val="00F37993"/>
    <w:rsid w:val="00F52A06"/>
    <w:rsid w:val="00F6184A"/>
    <w:rsid w:val="00F868B7"/>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52"/>
    <w:pPr>
      <w:spacing w:after="0" w:line="240" w:lineRule="auto"/>
    </w:pPr>
    <w:rPr>
      <w:rFonts w:ascii="Times New Roman" w:eastAsia="Times New Roman" w:hAnsi="Times New Roman" w:cs="Times New Roman"/>
      <w:sz w:val="20"/>
      <w:szCs w:val="20"/>
    </w:rPr>
  </w:style>
  <w:style w:type="paragraph" w:styleId="Balk2">
    <w:name w:val="heading 2"/>
    <w:basedOn w:val="Normal"/>
    <w:link w:val="Balk2Char"/>
    <w:uiPriority w:val="9"/>
    <w:qFormat/>
    <w:rsid w:val="00A11814"/>
    <w:pPr>
      <w:spacing w:before="100" w:beforeAutospacing="1" w:after="100" w:afterAutospacing="1"/>
      <w:outlineLvl w:val="1"/>
    </w:pPr>
    <w:rPr>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customStyle="1" w:styleId="Balk2Char">
    <w:name w:val="Başlık 2 Char"/>
    <w:basedOn w:val="VarsaylanParagrafYazTipi"/>
    <w:link w:val="Balk2"/>
    <w:uiPriority w:val="9"/>
    <w:rsid w:val="00A11814"/>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A11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776295756">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98930-91E7-4FD1-A2B8-2E507242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1426</Words>
  <Characters>8129</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Büşra Baytur</dc:creator>
  <cp:lastModifiedBy>ali taş</cp:lastModifiedBy>
  <cp:revision>47</cp:revision>
  <cp:lastPrinted>2023-08-29T11:55:00Z</cp:lastPrinted>
  <dcterms:created xsi:type="dcterms:W3CDTF">2023-05-10T06:36:00Z</dcterms:created>
  <dcterms:modified xsi:type="dcterms:W3CDTF">2024-02-09T10:46:00Z</dcterms:modified>
</cp:coreProperties>
</file>