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1C24FA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78216CE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  <w:r w:rsidRPr="001C24FA">
                    <w:rPr>
                      <w:sz w:val="22"/>
                      <w:szCs w:val="22"/>
                    </w:rPr>
                    <w:t>MAKİNA MÜHENDİSİ</w:t>
                  </w:r>
                </w:p>
              </w:tc>
            </w:tr>
            <w:tr w:rsidR="001C24FA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1C24FA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46993908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  <w:r w:rsidRPr="001C24FA">
                    <w:rPr>
                      <w:sz w:val="22"/>
                      <w:szCs w:val="22"/>
                    </w:rPr>
                    <w:t xml:space="preserve">BİRİM AMİRİ  </w:t>
                  </w:r>
                </w:p>
              </w:tc>
            </w:tr>
            <w:tr w:rsidR="001C24FA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1C24FA" w:rsidRPr="00344B36" w:rsidRDefault="001C24FA" w:rsidP="001C24F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1C24FA" w:rsidRPr="001C24FA" w:rsidRDefault="001C24FA" w:rsidP="001C24F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189F0AF6" w14:textId="04CC26FC" w:rsidR="001C24FA" w:rsidRPr="001C24FA" w:rsidRDefault="001C24FA" w:rsidP="001C24FA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Her türlü mekanik sistemin, gaz ve buhar türbinlerinin, pistonlu kompresörlerin, soğutma, ısıtma, havalandırma-iklimlendirme sistemlerinin, elektromekanik taşıyıcıların (asansör, yürüyen merdiven gibi)</w:t>
            </w:r>
            <w:r>
              <w:rPr>
                <w:sz w:val="22"/>
                <w:szCs w:val="22"/>
              </w:rPr>
              <w:t xml:space="preserve"> </w:t>
            </w:r>
            <w:r w:rsidRPr="001C24FA">
              <w:rPr>
                <w:sz w:val="22"/>
                <w:szCs w:val="22"/>
              </w:rPr>
              <w:t>belirli ölçütler çerçevesinde tasarımını yapmak, geliştirmek, sistemler arası ilişki ve fonksiyonları kurmak, geçerli fiziksel kurallar içinde test etmek Makine Mühendisinin çalışma alanına girer. Buna</w:t>
            </w:r>
            <w:bookmarkStart w:id="0" w:name="_GoBack"/>
            <w:bookmarkEnd w:id="0"/>
            <w:r w:rsidRPr="001C24FA">
              <w:rPr>
                <w:sz w:val="22"/>
                <w:szCs w:val="22"/>
              </w:rPr>
              <w:t xml:space="preserve"> göre; </w:t>
            </w:r>
          </w:p>
          <w:p w14:paraId="2874371E" w14:textId="77777777" w:rsidR="001C24FA" w:rsidRPr="002F414C" w:rsidRDefault="001C24FA" w:rsidP="001C24FA">
            <w:pPr>
              <w:jc w:val="both"/>
              <w:rPr>
                <w:b/>
                <w:sz w:val="24"/>
                <w:szCs w:val="24"/>
              </w:rPr>
            </w:pPr>
          </w:p>
          <w:p w14:paraId="50F1A284" w14:textId="77777777" w:rsidR="001C24FA" w:rsidRPr="009315F9" w:rsidRDefault="001C24FA" w:rsidP="001C24FA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176F843D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Mekanik ve tesisat projeleri, iklimlendirme, ısıtma, soğutma sistemleri morg yapımı gibi ilgili işlere ait proje ve ihale dosyası hazırlamak.</w:t>
            </w:r>
          </w:p>
          <w:p w14:paraId="2C30D561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 xml:space="preserve">Uygulamada ortaya çıkan proje hatalarının düzeltilmesini sağlamak. </w:t>
            </w:r>
          </w:p>
          <w:p w14:paraId="6876AD12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Isı yalıtımı ve enerjinin verimli kullanımı ile ilgili çalışma ve planlamaları yapmak, bunları rapor halinde amirlerine sunmak.</w:t>
            </w:r>
          </w:p>
          <w:p w14:paraId="2BDA8CA4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 xml:space="preserve">Hizmet alanına giren konularda gerekli plan ve projeleri yapmak. </w:t>
            </w:r>
          </w:p>
          <w:p w14:paraId="7A524824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Hizmet alanına giren konularda çalışırken iş ve çalışma güvenliğine yönelik her türlü önlemi almak, bu önlemlerin uygulanmasını sağlamak.</w:t>
            </w:r>
          </w:p>
          <w:p w14:paraId="41A681BE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Yapılan hizmetler ile ilgili gerekli raporları hazırlamak.</w:t>
            </w:r>
          </w:p>
          <w:p w14:paraId="2BCC28D2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Yapımı süren işlerde kontrollük ve denetim hizmetlerinde bulunmak, geçici ve kesin kabul işlemlerinde çalışmak.</w:t>
            </w:r>
          </w:p>
          <w:p w14:paraId="5246CF1D" w14:textId="260A3770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Metraj cetvellerini hazırlamak, keşif ve pursantaj listelerini, fiyat analizi ve tutanaklarını hazırlamak, gerekli teknik şartnameleri hazırlamak.</w:t>
            </w:r>
          </w:p>
          <w:p w14:paraId="018468AD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Hizmet alanına giren işler ile ilgili gerekli toplantılara katılmak, komisyonlarda görev almak.</w:t>
            </w:r>
          </w:p>
          <w:p w14:paraId="714875C4" w14:textId="77777777" w:rsidR="00927322" w:rsidRDefault="00927322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3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3C5A3871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Astlarının yaptığı işlerin takibini yapmak, gerekli planlama ve organizasyonu sağlamak, vardiyaları düzenlemek.</w:t>
            </w:r>
          </w:p>
          <w:p w14:paraId="6C340ADC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Gerekli durumlarda ekiplerin eğitimini sağlamak. Meslek içi eğitimlere katılmak.</w:t>
            </w:r>
          </w:p>
          <w:p w14:paraId="23918286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Hizmet alanına giren işler için ihtiyaç duyulan malzeme, alet ve avadanlıkları belirleyip teminini sağlamak.</w:t>
            </w:r>
          </w:p>
          <w:p w14:paraId="20491809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 xml:space="preserve">Meslek alanına giren konular ile ilgili yasa, yönetmelik ve meslek ahlak kurallarına uygun hizmet </w:t>
            </w:r>
            <w:r w:rsidRPr="001C24FA">
              <w:rPr>
                <w:sz w:val="22"/>
                <w:szCs w:val="22"/>
              </w:rPr>
              <w:lastRenderedPageBreak/>
              <w:t>üretmek veya üretilmesini sağlamak.</w:t>
            </w:r>
          </w:p>
          <w:p w14:paraId="2F2BE471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Meslek alanına giren konularda her türlü gelişmeyi takip etmek, mevcut veya yeni yaptırılacak tesislerin verimli ve ekonomik kullanımına yönelik gelişmeleri uygulamak.</w:t>
            </w:r>
          </w:p>
          <w:p w14:paraId="41E78E5B" w14:textId="77777777" w:rsidR="001C24FA" w:rsidRPr="007F3C65" w:rsidRDefault="001C24FA" w:rsidP="001C24FA">
            <w:pPr>
              <w:rPr>
                <w:sz w:val="24"/>
                <w:szCs w:val="24"/>
              </w:rPr>
            </w:pPr>
          </w:p>
          <w:p w14:paraId="1CA89EA8" w14:textId="77777777" w:rsidR="001C24FA" w:rsidRPr="009315F9" w:rsidRDefault="001C24FA" w:rsidP="001C24F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0442D11B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125CA4CB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072ACB21" w14:textId="77777777" w:rsidR="001C24FA" w:rsidRDefault="001C24FA" w:rsidP="001C24FA">
            <w:pPr>
              <w:rPr>
                <w:b/>
              </w:rPr>
            </w:pPr>
          </w:p>
          <w:p w14:paraId="76F311F9" w14:textId="77777777" w:rsidR="001C24FA" w:rsidRPr="009315F9" w:rsidRDefault="001C24FA" w:rsidP="001C24FA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561A3465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657 sayılı Devlet Memurları Kanunu</w:t>
            </w:r>
          </w:p>
          <w:p w14:paraId="4658EDF1" w14:textId="77777777" w:rsidR="001C24FA" w:rsidRPr="001C24FA" w:rsidRDefault="001C24FA" w:rsidP="0092732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1C24FA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5CAD1BED" w14:textId="77777777" w:rsidR="001C24FA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78154A15" w14:textId="77777777" w:rsidR="001C24FA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63C7F28D" w14:textId="77777777" w:rsidR="001C24FA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08B0ECDC" w14:textId="77777777" w:rsidR="001C24FA" w:rsidRPr="00572670" w:rsidRDefault="001C24FA" w:rsidP="001C24FA">
            <w:pPr>
              <w:pStyle w:val="TableParagraph"/>
              <w:tabs>
                <w:tab w:val="left" w:pos="827"/>
                <w:tab w:val="left" w:pos="829"/>
              </w:tabs>
              <w:spacing w:before="124"/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AB0C43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1EE20" w14:textId="77777777" w:rsidR="00A533DF" w:rsidRDefault="00A533DF" w:rsidP="0072515F">
      <w:r>
        <w:separator/>
      </w:r>
    </w:p>
  </w:endnote>
  <w:endnote w:type="continuationSeparator" w:id="0">
    <w:p w14:paraId="40A7D987" w14:textId="77777777" w:rsidR="00A533DF" w:rsidRDefault="00A533DF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4663C9E1" w:rsidR="00D018D2" w:rsidRPr="001E3951" w:rsidRDefault="00E0343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Kalite Koordinatörü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61CED60D" w:rsidR="00D018D2" w:rsidRPr="001E3951" w:rsidRDefault="00E03435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1D45" w14:textId="77777777" w:rsidR="00A533DF" w:rsidRDefault="00A533DF" w:rsidP="0072515F">
      <w:r>
        <w:separator/>
      </w:r>
    </w:p>
  </w:footnote>
  <w:footnote w:type="continuationSeparator" w:id="0">
    <w:p w14:paraId="5A971486" w14:textId="77777777" w:rsidR="00A533DF" w:rsidRDefault="00A533DF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29F09C9" w:rsidR="000D250F" w:rsidRPr="007B4963" w:rsidRDefault="00C31484" w:rsidP="00B700B4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0A473E76" wp14:editId="6A33F18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1F3F9AD6" w:rsidR="000D250F" w:rsidRPr="00D82ADE" w:rsidRDefault="001C24F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1C24FA">
            <w:rPr>
              <w:b/>
              <w:sz w:val="24"/>
              <w:szCs w:val="24"/>
            </w:rPr>
            <w:t xml:space="preserve">MAKİNA MÜHENDİSİ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7999DF3C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1C24FA">
            <w:t>96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DBA3263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C31484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4725DDF0" w:rsidR="000D250F" w:rsidRPr="007B4963" w:rsidRDefault="000D250F" w:rsidP="00927322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927322">
            <w:t>26.09.2025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C7638DE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927322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r w:rsidR="00A533DF">
            <w:fldChar w:fldCharType="begin"/>
          </w:r>
          <w:r w:rsidR="00A533DF">
            <w:instrText>NUMPAGES  \* Arabic  \* MERGEFORMAT</w:instrText>
          </w:r>
          <w:r w:rsidR="00A533DF">
            <w:fldChar w:fldCharType="separate"/>
          </w:r>
          <w:r w:rsidR="00927322">
            <w:rPr>
              <w:noProof/>
            </w:rPr>
            <w:t>2</w:t>
          </w:r>
          <w:r w:rsidR="00A533DF">
            <w:rPr>
              <w:noProof/>
            </w:rPr>
            <w:fldChar w:fldCharType="end"/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16DD"/>
    <w:multiLevelType w:val="hybridMultilevel"/>
    <w:tmpl w:val="C5189B1C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B5AEC"/>
    <w:multiLevelType w:val="hybridMultilevel"/>
    <w:tmpl w:val="9FCCC2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F33353"/>
    <w:multiLevelType w:val="hybridMultilevel"/>
    <w:tmpl w:val="553C7584"/>
    <w:lvl w:ilvl="0" w:tplc="A300E3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8604906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BD505062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55C4B354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358EF156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F4AE37F4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FB8E2B86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080652D8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ACA26244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5"/>
  </w:num>
  <w:num w:numId="4">
    <w:abstractNumId w:val="10"/>
  </w:num>
  <w:num w:numId="5">
    <w:abstractNumId w:val="4"/>
  </w:num>
  <w:num w:numId="6">
    <w:abstractNumId w:val="12"/>
  </w:num>
  <w:num w:numId="7">
    <w:abstractNumId w:val="11"/>
  </w:num>
  <w:num w:numId="8">
    <w:abstractNumId w:val="2"/>
  </w:num>
  <w:num w:numId="9">
    <w:abstractNumId w:val="18"/>
  </w:num>
  <w:num w:numId="10">
    <w:abstractNumId w:val="7"/>
  </w:num>
  <w:num w:numId="11">
    <w:abstractNumId w:val="15"/>
  </w:num>
  <w:num w:numId="12">
    <w:abstractNumId w:val="23"/>
  </w:num>
  <w:num w:numId="13">
    <w:abstractNumId w:val="28"/>
  </w:num>
  <w:num w:numId="14">
    <w:abstractNumId w:val="14"/>
  </w:num>
  <w:num w:numId="15">
    <w:abstractNumId w:val="1"/>
  </w:num>
  <w:num w:numId="16">
    <w:abstractNumId w:val="16"/>
  </w:num>
  <w:num w:numId="17">
    <w:abstractNumId w:val="9"/>
  </w:num>
  <w:num w:numId="18">
    <w:abstractNumId w:val="6"/>
  </w:num>
  <w:num w:numId="19">
    <w:abstractNumId w:val="20"/>
    <w:lvlOverride w:ilvl="0">
      <w:startOverride w:val="1"/>
    </w:lvlOverride>
  </w:num>
  <w:num w:numId="20">
    <w:abstractNumId w:val="26"/>
  </w:num>
  <w:num w:numId="21">
    <w:abstractNumId w:val="0"/>
  </w:num>
  <w:num w:numId="22">
    <w:abstractNumId w:val="21"/>
  </w:num>
  <w:num w:numId="23">
    <w:abstractNumId w:val="19"/>
  </w:num>
  <w:num w:numId="24">
    <w:abstractNumId w:val="13"/>
  </w:num>
  <w:num w:numId="25">
    <w:abstractNumId w:val="17"/>
  </w:num>
  <w:num w:numId="26">
    <w:abstractNumId w:val="22"/>
  </w:num>
  <w:num w:numId="27">
    <w:abstractNumId w:val="3"/>
  </w:num>
  <w:num w:numId="28">
    <w:abstractNumId w:val="8"/>
  </w:num>
  <w:num w:numId="29">
    <w:abstractNumId w:val="27"/>
  </w:num>
  <w:num w:numId="30">
    <w:abstractNumId w:val="24"/>
  </w:num>
  <w:num w:numId="3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C5BEE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24FA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27322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533DF"/>
    <w:rsid w:val="00A86033"/>
    <w:rsid w:val="00AA0D67"/>
    <w:rsid w:val="00AB0C43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1484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0343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64511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24FA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A40D-B174-49A0-A750-A2577F805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exper</cp:lastModifiedBy>
  <cp:revision>144</cp:revision>
  <cp:lastPrinted>2022-04-20T11:11:00Z</cp:lastPrinted>
  <dcterms:created xsi:type="dcterms:W3CDTF">2017-07-17T11:46:00Z</dcterms:created>
  <dcterms:modified xsi:type="dcterms:W3CDTF">2025-09-26T06:14:00Z</dcterms:modified>
</cp:coreProperties>
</file>